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5A647">
      <w:pPr>
        <w:pStyle w:val="6"/>
        <w:spacing w:before="0"/>
        <w:rPr>
          <w:rFonts w:ascii="Times New Roman"/>
          <w:b/>
          <w:sz w:val="20"/>
          <w:highlight w:val="none"/>
        </w:rPr>
      </w:pPr>
    </w:p>
    <w:p w14:paraId="15975B36">
      <w:pPr>
        <w:pStyle w:val="5"/>
        <w:numPr>
          <w:ilvl w:val="0"/>
          <w:numId w:val="0"/>
        </w:numPr>
        <w:ind w:left="400" w:leftChars="0"/>
        <w:rPr>
          <w:rFonts w:hint="eastAsia" w:ascii="仿宋_GB2312" w:hAnsi="仿宋_GB2312" w:eastAsia="仿宋_GB2312" w:cs="仿宋_GB2312"/>
          <w:w w:val="98"/>
          <w:sz w:val="32"/>
          <w:szCs w:val="32"/>
        </w:rPr>
      </w:pPr>
      <w:r>
        <w:rPr>
          <w:rFonts w:hint="eastAsia" w:ascii="仿宋_GB2312" w:hAnsi="仿宋_GB2312" w:eastAsia="仿宋_GB2312" w:cs="仿宋_GB2312"/>
          <w:w w:val="98"/>
          <w:sz w:val="32"/>
          <w:szCs w:val="32"/>
        </w:rPr>
        <w:t>注：采购合同为采购</w:t>
      </w:r>
      <w:r>
        <w:rPr>
          <w:rFonts w:hint="eastAsia" w:ascii="仿宋_GB2312" w:hAnsi="仿宋_GB2312" w:eastAsia="仿宋_GB2312" w:cs="仿宋_GB2312"/>
          <w:w w:val="98"/>
          <w:sz w:val="32"/>
          <w:szCs w:val="32"/>
          <w:lang w:eastAsia="zh-CN"/>
        </w:rPr>
        <w:t>文件</w:t>
      </w:r>
      <w:r>
        <w:rPr>
          <w:rFonts w:hint="eastAsia" w:ascii="仿宋_GB2312" w:hAnsi="仿宋_GB2312" w:eastAsia="仿宋_GB2312" w:cs="仿宋_GB2312"/>
          <w:w w:val="98"/>
          <w:sz w:val="32"/>
          <w:szCs w:val="32"/>
        </w:rPr>
        <w:t>的组成部分，为法律法规认可的要约。中标人前来投标即视为已答应此要约，届时</w:t>
      </w:r>
      <w:r>
        <w:rPr>
          <w:rFonts w:hint="eastAsia" w:ascii="仿宋_GB2312" w:hAnsi="仿宋_GB2312" w:eastAsia="仿宋_GB2312" w:cs="仿宋_GB2312"/>
          <w:w w:val="98"/>
          <w:sz w:val="32"/>
          <w:szCs w:val="32"/>
          <w:lang w:eastAsia="zh-CN"/>
        </w:rPr>
        <w:t>采购</w:t>
      </w:r>
      <w:r>
        <w:rPr>
          <w:rFonts w:hint="eastAsia" w:ascii="仿宋_GB2312" w:hAnsi="仿宋_GB2312" w:eastAsia="仿宋_GB2312" w:cs="仿宋_GB2312"/>
          <w:w w:val="98"/>
          <w:sz w:val="32"/>
          <w:szCs w:val="32"/>
        </w:rPr>
        <w:t>人在与中标人签订合同时，以此合同样本为准签订，中标人不得再对此合同样本进行修改。</w:t>
      </w:r>
    </w:p>
    <w:p w14:paraId="520D6A43">
      <w:pPr>
        <w:pStyle w:val="6"/>
        <w:spacing w:before="0"/>
        <w:rPr>
          <w:rFonts w:ascii="Times New Roman"/>
          <w:b/>
          <w:sz w:val="20"/>
          <w:highlight w:val="none"/>
        </w:rPr>
      </w:pPr>
    </w:p>
    <w:p w14:paraId="2A6DE6F1">
      <w:pPr>
        <w:pStyle w:val="6"/>
        <w:spacing w:before="0"/>
        <w:jc w:val="center"/>
        <w:rPr>
          <w:rFonts w:hint="eastAsia" w:ascii="宋体" w:hAnsi="宋体" w:eastAsia="宋体" w:cs="宋体"/>
          <w:b/>
          <w:bCs/>
          <w:sz w:val="44"/>
          <w:szCs w:val="44"/>
          <w:highlight w:val="none"/>
          <w:lang w:eastAsia="zh-CN"/>
        </w:rPr>
      </w:pPr>
    </w:p>
    <w:p w14:paraId="0BD492CE">
      <w:pPr>
        <w:pStyle w:val="6"/>
        <w:spacing w:before="0"/>
        <w:jc w:val="center"/>
        <w:rPr>
          <w:rFonts w:ascii="宋体" w:hAnsi="宋体" w:eastAsia="宋体" w:cs="宋体"/>
          <w:b/>
          <w:bCs/>
          <w:sz w:val="44"/>
          <w:szCs w:val="44"/>
          <w:highlight w:val="none"/>
        </w:rPr>
      </w:pPr>
      <w:r>
        <w:rPr>
          <w:rFonts w:hint="eastAsia" w:ascii="宋体" w:hAnsi="宋体" w:eastAsia="宋体" w:cs="宋体"/>
          <w:b/>
          <w:bCs/>
          <w:sz w:val="44"/>
          <w:szCs w:val="44"/>
          <w:highlight w:val="none"/>
          <w:lang w:eastAsia="zh-CN"/>
        </w:rPr>
        <w:t>湛江经济技术开发区中科炼化项目安置小区（二期）无线远传水表改造项目</w:t>
      </w:r>
      <w:r>
        <w:rPr>
          <w:rFonts w:ascii="宋体" w:hAnsi="宋体" w:eastAsia="宋体" w:cs="宋体"/>
          <w:b/>
          <w:bCs/>
          <w:sz w:val="44"/>
          <w:szCs w:val="44"/>
          <w:highlight w:val="none"/>
        </w:rPr>
        <w:t>施工</w:t>
      </w:r>
    </w:p>
    <w:p w14:paraId="68399F11">
      <w:pPr>
        <w:pStyle w:val="6"/>
        <w:spacing w:before="0"/>
        <w:jc w:val="center"/>
        <w:rPr>
          <w:rFonts w:hint="eastAsia" w:ascii="黑体" w:hAnsi="黑体" w:eastAsia="黑体" w:cs="黑体"/>
          <w:b/>
          <w:bCs/>
          <w:sz w:val="44"/>
          <w:szCs w:val="44"/>
          <w:highlight w:val="none"/>
        </w:rPr>
      </w:pPr>
      <w:r>
        <w:rPr>
          <w:rFonts w:ascii="宋体" w:hAnsi="宋体" w:eastAsia="宋体" w:cs="宋体"/>
          <w:b/>
          <w:bCs/>
          <w:sz w:val="44"/>
          <w:szCs w:val="44"/>
          <w:highlight w:val="none"/>
        </w:rPr>
        <w:t>招标代理合同</w:t>
      </w:r>
    </w:p>
    <w:p w14:paraId="55DD29AB">
      <w:pPr>
        <w:pStyle w:val="6"/>
        <w:spacing w:before="0"/>
        <w:rPr>
          <w:rFonts w:hint="eastAsia" w:ascii="黑体" w:hAnsi="黑体" w:eastAsia="黑体" w:cs="黑体"/>
          <w:sz w:val="20"/>
          <w:highlight w:val="none"/>
        </w:rPr>
      </w:pPr>
    </w:p>
    <w:p w14:paraId="27D0D467">
      <w:pPr>
        <w:pStyle w:val="6"/>
        <w:spacing w:before="0"/>
        <w:rPr>
          <w:rFonts w:hint="eastAsia" w:ascii="黑体" w:hAnsi="黑体" w:eastAsia="黑体" w:cs="黑体"/>
          <w:sz w:val="20"/>
          <w:highlight w:val="none"/>
        </w:rPr>
      </w:pPr>
    </w:p>
    <w:p w14:paraId="350D1A2C">
      <w:pPr>
        <w:pStyle w:val="6"/>
        <w:spacing w:before="0"/>
        <w:rPr>
          <w:rFonts w:hint="eastAsia" w:ascii="黑体" w:hAnsi="黑体" w:eastAsia="黑体" w:cs="黑体"/>
          <w:sz w:val="20"/>
          <w:highlight w:val="none"/>
        </w:rPr>
      </w:pPr>
    </w:p>
    <w:p w14:paraId="4DC9F23E">
      <w:pPr>
        <w:pStyle w:val="6"/>
        <w:spacing w:before="0"/>
        <w:rPr>
          <w:rFonts w:hint="eastAsia" w:ascii="黑体" w:hAnsi="黑体" w:eastAsia="黑体" w:cs="黑体"/>
          <w:sz w:val="20"/>
          <w:highlight w:val="none"/>
        </w:rPr>
      </w:pPr>
    </w:p>
    <w:p w14:paraId="2AB1F851">
      <w:pPr>
        <w:pStyle w:val="6"/>
        <w:spacing w:before="0"/>
        <w:rPr>
          <w:rFonts w:hint="eastAsia" w:ascii="黑体" w:hAnsi="黑体" w:eastAsia="黑体" w:cs="黑体"/>
          <w:sz w:val="20"/>
          <w:highlight w:val="none"/>
        </w:rPr>
      </w:pPr>
    </w:p>
    <w:p w14:paraId="2FD65CE9">
      <w:pPr>
        <w:pStyle w:val="6"/>
        <w:spacing w:before="0"/>
        <w:rPr>
          <w:rFonts w:hint="eastAsia" w:ascii="黑体" w:hAnsi="黑体" w:eastAsia="黑体" w:cs="黑体"/>
          <w:sz w:val="20"/>
          <w:highlight w:val="none"/>
        </w:rPr>
      </w:pPr>
    </w:p>
    <w:p w14:paraId="12CB7DA2">
      <w:pPr>
        <w:pStyle w:val="6"/>
        <w:spacing w:before="0"/>
        <w:rPr>
          <w:rFonts w:hint="eastAsia" w:ascii="黑体" w:hAnsi="黑体" w:eastAsia="黑体" w:cs="黑体"/>
          <w:sz w:val="20"/>
          <w:highlight w:val="none"/>
        </w:rPr>
      </w:pPr>
    </w:p>
    <w:p w14:paraId="7F8390D3">
      <w:pPr>
        <w:pStyle w:val="6"/>
        <w:spacing w:before="0"/>
        <w:rPr>
          <w:rFonts w:hint="eastAsia" w:ascii="黑体" w:hAnsi="黑体" w:eastAsia="黑体" w:cs="黑体"/>
          <w:sz w:val="20"/>
          <w:highlight w:val="none"/>
          <w:lang w:val="en-US" w:eastAsia="zh-CN"/>
        </w:rPr>
      </w:pPr>
      <w:r>
        <w:rPr>
          <w:rFonts w:hint="eastAsia" w:ascii="黑体" w:hAnsi="黑体" w:eastAsia="黑体" w:cs="黑体"/>
          <w:sz w:val="20"/>
          <w:highlight w:val="none"/>
          <w:lang w:val="en-US" w:eastAsia="zh-CN"/>
        </w:rPr>
        <w:t xml:space="preserve"> </w:t>
      </w:r>
    </w:p>
    <w:p w14:paraId="27545D6B">
      <w:pPr>
        <w:pStyle w:val="6"/>
        <w:spacing w:before="0"/>
        <w:rPr>
          <w:rFonts w:hint="eastAsia" w:ascii="黑体" w:hAnsi="黑体" w:eastAsia="黑体" w:cs="黑体"/>
          <w:sz w:val="20"/>
          <w:highlight w:val="none"/>
        </w:rPr>
      </w:pPr>
    </w:p>
    <w:p w14:paraId="6CC72761">
      <w:pPr>
        <w:pStyle w:val="6"/>
        <w:spacing w:before="0"/>
        <w:rPr>
          <w:rFonts w:hint="eastAsia" w:ascii="黑体" w:hAnsi="黑体" w:eastAsia="黑体" w:cs="黑体"/>
          <w:sz w:val="20"/>
          <w:highlight w:val="none"/>
        </w:rPr>
      </w:pPr>
    </w:p>
    <w:p w14:paraId="14592EF3">
      <w:pPr>
        <w:pStyle w:val="6"/>
        <w:spacing w:before="0"/>
        <w:rPr>
          <w:rFonts w:hint="eastAsia" w:ascii="黑体" w:hAnsi="黑体" w:eastAsia="黑体" w:cs="黑体"/>
          <w:sz w:val="20"/>
          <w:highlight w:val="none"/>
        </w:rPr>
      </w:pPr>
    </w:p>
    <w:p w14:paraId="2CEF7E98">
      <w:pPr>
        <w:pStyle w:val="6"/>
        <w:spacing w:before="0"/>
        <w:rPr>
          <w:rFonts w:hint="eastAsia" w:ascii="黑体" w:hAnsi="黑体" w:eastAsia="黑体" w:cs="黑体"/>
          <w:sz w:val="20"/>
          <w:highlight w:val="none"/>
        </w:rPr>
      </w:pPr>
    </w:p>
    <w:p w14:paraId="14EBFF98">
      <w:pPr>
        <w:pStyle w:val="6"/>
        <w:spacing w:before="0"/>
        <w:rPr>
          <w:rFonts w:hint="eastAsia" w:ascii="黑体" w:hAnsi="黑体" w:eastAsia="黑体" w:cs="黑体"/>
          <w:sz w:val="20"/>
          <w:highlight w:val="none"/>
        </w:rPr>
      </w:pPr>
    </w:p>
    <w:p w14:paraId="697590C9">
      <w:pPr>
        <w:pStyle w:val="6"/>
        <w:spacing w:before="0"/>
        <w:rPr>
          <w:rFonts w:hint="eastAsia" w:ascii="黑体" w:hAnsi="黑体" w:eastAsia="黑体" w:cs="黑体"/>
          <w:sz w:val="20"/>
          <w:highlight w:val="none"/>
        </w:rPr>
      </w:pPr>
    </w:p>
    <w:p w14:paraId="3C8EDC43">
      <w:pPr>
        <w:pStyle w:val="6"/>
        <w:spacing w:before="0"/>
        <w:rPr>
          <w:rFonts w:hint="eastAsia" w:ascii="黑体" w:hAnsi="黑体" w:eastAsia="黑体" w:cs="黑体"/>
          <w:sz w:val="20"/>
          <w:highlight w:val="none"/>
        </w:rPr>
      </w:pPr>
    </w:p>
    <w:p w14:paraId="61A03626">
      <w:pPr>
        <w:pStyle w:val="6"/>
        <w:spacing w:before="0"/>
        <w:rPr>
          <w:rFonts w:hint="eastAsia" w:ascii="黑体" w:hAnsi="黑体" w:eastAsia="黑体" w:cs="黑体"/>
          <w:sz w:val="20"/>
          <w:highlight w:val="none"/>
        </w:rPr>
      </w:pPr>
    </w:p>
    <w:p w14:paraId="7D2CC80F">
      <w:pPr>
        <w:pStyle w:val="6"/>
        <w:spacing w:before="0"/>
        <w:rPr>
          <w:rFonts w:hint="eastAsia" w:ascii="黑体" w:hAnsi="黑体" w:eastAsia="黑体" w:cs="黑体"/>
          <w:sz w:val="20"/>
          <w:highlight w:val="none"/>
        </w:rPr>
      </w:pPr>
    </w:p>
    <w:p w14:paraId="5C97BC8D">
      <w:pPr>
        <w:pStyle w:val="6"/>
        <w:spacing w:before="0"/>
        <w:rPr>
          <w:rFonts w:hint="eastAsia" w:ascii="黑体" w:hAnsi="黑体" w:eastAsia="黑体" w:cs="黑体"/>
          <w:sz w:val="20"/>
          <w:highlight w:val="none"/>
        </w:rPr>
      </w:pPr>
    </w:p>
    <w:p w14:paraId="3DB1DD0E">
      <w:pPr>
        <w:pStyle w:val="6"/>
        <w:spacing w:before="0"/>
        <w:rPr>
          <w:rFonts w:hint="eastAsia" w:ascii="黑体" w:hAnsi="黑体" w:eastAsia="黑体" w:cs="黑体"/>
          <w:sz w:val="20"/>
          <w:highlight w:val="none"/>
        </w:rPr>
      </w:pPr>
    </w:p>
    <w:p w14:paraId="15D46CCD">
      <w:pPr>
        <w:pStyle w:val="6"/>
        <w:spacing w:before="0"/>
        <w:rPr>
          <w:rFonts w:hint="eastAsia" w:ascii="黑体" w:hAnsi="黑体" w:eastAsia="黑体" w:cs="黑体"/>
          <w:sz w:val="20"/>
          <w:highlight w:val="none"/>
        </w:rPr>
      </w:pPr>
    </w:p>
    <w:p w14:paraId="0995505E">
      <w:pPr>
        <w:pStyle w:val="6"/>
        <w:spacing w:before="0"/>
        <w:rPr>
          <w:rFonts w:hint="eastAsia" w:ascii="黑体" w:hAnsi="黑体" w:eastAsia="黑体" w:cs="黑体"/>
          <w:sz w:val="20"/>
          <w:highlight w:val="none"/>
        </w:rPr>
      </w:pPr>
    </w:p>
    <w:p w14:paraId="70305258">
      <w:pPr>
        <w:spacing w:line="360" w:lineRule="exact"/>
        <w:ind w:firstLine="1928" w:firstLineChars="600"/>
        <w:rPr>
          <w:rFonts w:hint="eastAsia" w:ascii="黑体" w:hAnsi="黑体" w:eastAsia="黑体" w:cs="黑体"/>
          <w:b/>
          <w:sz w:val="32"/>
          <w:highlight w:val="none"/>
        </w:rPr>
      </w:pPr>
      <w:r>
        <w:rPr>
          <w:rFonts w:hint="eastAsia" w:ascii="黑体" w:hAnsi="黑体" w:eastAsia="黑体" w:cs="黑体"/>
          <w:b/>
          <w:sz w:val="32"/>
          <w:highlight w:val="none"/>
        </w:rPr>
        <w:t>中华人民共和国住房和城乡建设部</w:t>
      </w:r>
    </w:p>
    <w:p w14:paraId="4AAD7F1A">
      <w:pPr>
        <w:spacing w:line="360" w:lineRule="exact"/>
        <w:ind w:firstLine="7087" w:firstLineChars="2206"/>
        <w:rPr>
          <w:rFonts w:hint="eastAsia" w:ascii="黑体" w:hAnsi="黑体" w:eastAsia="黑体" w:cs="黑体"/>
          <w:b/>
          <w:sz w:val="32"/>
          <w:highlight w:val="none"/>
        </w:rPr>
      </w:pPr>
      <w:r>
        <w:rPr>
          <w:rFonts w:hint="eastAsia" w:ascii="黑体" w:hAnsi="黑体" w:eastAsia="黑体" w:cs="黑体"/>
          <w:b/>
          <w:sz w:val="32"/>
          <w:highlight w:val="none"/>
        </w:rPr>
        <w:t>制定</w:t>
      </w:r>
    </w:p>
    <w:p w14:paraId="28BDEB8B">
      <w:pPr>
        <w:spacing w:line="360" w:lineRule="exact"/>
        <w:ind w:firstLine="2891" w:firstLineChars="900"/>
        <w:rPr>
          <w:rFonts w:hint="eastAsia" w:ascii="黑体" w:hAnsi="黑体" w:eastAsia="黑体" w:cs="黑体"/>
          <w:b/>
          <w:sz w:val="32"/>
          <w:highlight w:val="none"/>
        </w:rPr>
      </w:pPr>
      <w:r>
        <w:rPr>
          <w:rFonts w:hint="eastAsia" w:ascii="黑体" w:hAnsi="黑体" w:eastAsia="黑体" w:cs="黑体"/>
          <w:b/>
          <w:sz w:val="32"/>
          <w:highlight w:val="none"/>
        </w:rPr>
        <w:t xml:space="preserve">国家市场监督管理总局  </w:t>
      </w:r>
    </w:p>
    <w:p w14:paraId="79B278C7">
      <w:pPr>
        <w:spacing w:line="400" w:lineRule="exact"/>
        <w:jc w:val="both"/>
        <w:rPr>
          <w:rFonts w:hint="eastAsia" w:ascii="黑体" w:hAnsi="黑体" w:eastAsia="黑体" w:cs="黑体"/>
          <w:b/>
          <w:bCs/>
          <w:highlight w:val="none"/>
        </w:rPr>
        <w:sectPr>
          <w:headerReference r:id="rId5" w:type="default"/>
          <w:headerReference r:id="rId6" w:type="even"/>
          <w:footerReference r:id="rId7" w:type="even"/>
          <w:pgSz w:w="11906" w:h="16838"/>
          <w:pgMar w:top="1440" w:right="1304" w:bottom="1440" w:left="1304" w:header="851" w:footer="992" w:gutter="0"/>
          <w:pgNumType w:fmt="decimal" w:start="0"/>
          <w:cols w:space="720" w:num="1"/>
          <w:titlePg/>
          <w:docGrid w:type="lines" w:linePitch="312" w:charSpace="0"/>
        </w:sectPr>
      </w:pPr>
    </w:p>
    <w:p w14:paraId="281C208C">
      <w:pPr>
        <w:pStyle w:val="3"/>
        <w:keepNext w:val="0"/>
        <w:keepLines w:val="0"/>
        <w:pageBreakBefore w:val="0"/>
        <w:widowControl w:val="0"/>
        <w:kinsoku/>
        <w:wordWrap/>
        <w:overflowPunct/>
        <w:topLinePunct w:val="0"/>
        <w:autoSpaceDE w:val="0"/>
        <w:autoSpaceDN w:val="0"/>
        <w:bidi w:val="0"/>
        <w:adjustRightInd/>
        <w:snapToGrid/>
        <w:spacing w:before="0" w:line="360" w:lineRule="auto"/>
        <w:jc w:val="center"/>
        <w:textAlignment w:val="auto"/>
        <w:rPr>
          <w:rFonts w:hint="eastAsia" w:ascii="仿宋" w:hAnsi="仿宋" w:eastAsia="仿宋" w:cs="仿宋"/>
          <w:b/>
          <w:bCs/>
          <w:color w:val="231F20"/>
          <w:sz w:val="28"/>
          <w:szCs w:val="28"/>
          <w:highlight w:val="none"/>
        </w:rPr>
      </w:pPr>
      <w:r>
        <w:rPr>
          <w:rFonts w:hint="eastAsia" w:ascii="仿宋" w:hAnsi="仿宋" w:eastAsia="仿宋" w:cs="仿宋"/>
          <w:b/>
          <w:bCs/>
          <w:color w:val="231F20"/>
          <w:sz w:val="28"/>
          <w:szCs w:val="28"/>
          <w:highlight w:val="none"/>
        </w:rPr>
        <w:t>招标代理协议书</w:t>
      </w:r>
    </w:p>
    <w:p w14:paraId="4E2B6276">
      <w:pPr>
        <w:pStyle w:val="3"/>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jc w:val="left"/>
        <w:textAlignment w:val="auto"/>
        <w:rPr>
          <w:rFonts w:hint="eastAsia" w:ascii="仿宋" w:hAnsi="仿宋" w:eastAsia="仿宋" w:cs="仿宋"/>
          <w:color w:val="231F20"/>
          <w:sz w:val="28"/>
          <w:szCs w:val="28"/>
          <w:highlight w:val="none"/>
          <w:u w:val="single"/>
          <w:lang w:val="en-US" w:eastAsia="zh-CN"/>
        </w:rPr>
      </w:pPr>
      <w:r>
        <w:rPr>
          <w:rFonts w:hint="eastAsia" w:ascii="仿宋" w:hAnsi="仿宋" w:eastAsia="仿宋" w:cs="仿宋"/>
          <w:color w:val="231F20"/>
          <w:sz w:val="28"/>
          <w:szCs w:val="28"/>
          <w:highlight w:val="none"/>
        </w:rPr>
        <w:t>委托人</w:t>
      </w:r>
      <w:r>
        <w:rPr>
          <w:rFonts w:hint="eastAsia" w:ascii="仿宋" w:hAnsi="仿宋" w:eastAsia="仿宋" w:cs="仿宋"/>
          <w:color w:val="231F20"/>
          <w:sz w:val="28"/>
          <w:szCs w:val="28"/>
          <w:highlight w:val="none"/>
          <w:u w:val="none"/>
          <w:lang w:eastAsia="zh-CN"/>
        </w:rPr>
        <w:t>：</w:t>
      </w:r>
      <w:r>
        <w:rPr>
          <w:rFonts w:hint="eastAsia" w:ascii="仿宋" w:hAnsi="仿宋" w:eastAsia="仿宋" w:cs="仿宋"/>
          <w:color w:val="231F20"/>
          <w:sz w:val="28"/>
          <w:szCs w:val="28"/>
          <w:highlight w:val="none"/>
          <w:u w:val="single"/>
          <w:lang w:val="en-US" w:eastAsia="zh-CN"/>
        </w:rPr>
        <w:t xml:space="preserve"> 湛江经济技术开发区东海岛开发投资有限公司 </w:t>
      </w:r>
    </w:p>
    <w:p w14:paraId="35992DEF">
      <w:pPr>
        <w:pStyle w:val="3"/>
        <w:keepNext w:val="0"/>
        <w:keepLines w:val="0"/>
        <w:pageBreakBefore w:val="0"/>
        <w:widowControl w:val="0"/>
        <w:kinsoku/>
        <w:wordWrap/>
        <w:overflowPunct/>
        <w:topLinePunct w:val="0"/>
        <w:autoSpaceDE w:val="0"/>
        <w:autoSpaceDN w:val="0"/>
        <w:bidi w:val="0"/>
        <w:adjustRightInd/>
        <w:snapToGrid/>
        <w:spacing w:before="0" w:line="360" w:lineRule="auto"/>
        <w:ind w:left="559" w:leftChars="254" w:firstLine="0" w:firstLineChars="0"/>
        <w:jc w:val="left"/>
        <w:textAlignment w:val="auto"/>
        <w:rPr>
          <w:rFonts w:hint="eastAsia" w:ascii="仿宋" w:hAnsi="仿宋" w:eastAsia="仿宋" w:cs="仿宋"/>
          <w:color w:val="231F20"/>
          <w:sz w:val="28"/>
          <w:szCs w:val="28"/>
          <w:highlight w:val="none"/>
          <w:u w:val="single" w:color="231F20"/>
        </w:rPr>
      </w:pPr>
      <w:r>
        <w:rPr>
          <w:rFonts w:hint="eastAsia" w:ascii="仿宋" w:hAnsi="仿宋" w:eastAsia="仿宋" w:cs="仿宋"/>
          <w:color w:val="231F20"/>
          <w:sz w:val="28"/>
          <w:szCs w:val="28"/>
          <w:highlight w:val="none"/>
        </w:rPr>
        <w:t>受托人</w:t>
      </w:r>
      <w:r>
        <w:rPr>
          <w:rFonts w:hint="eastAsia" w:ascii="仿宋" w:hAnsi="仿宋" w:eastAsia="仿宋" w:cs="仿宋"/>
          <w:color w:val="231F20"/>
          <w:sz w:val="28"/>
          <w:szCs w:val="28"/>
          <w:highlight w:val="none"/>
          <w:u w:val="none"/>
          <w:lang w:eastAsia="zh-CN"/>
        </w:rPr>
        <w:t>：</w:t>
      </w:r>
      <w:r>
        <w:rPr>
          <w:rFonts w:hint="eastAsia" w:ascii="仿宋" w:hAnsi="仿宋" w:eastAsia="仿宋" w:cs="仿宋"/>
          <w:color w:val="231F20"/>
          <w:sz w:val="28"/>
          <w:szCs w:val="28"/>
          <w:highlight w:val="none"/>
          <w:u w:val="single"/>
          <w:lang w:val="en-US" w:eastAsia="zh-CN"/>
        </w:rPr>
        <w:t xml:space="preserve">                         </w:t>
      </w:r>
    </w:p>
    <w:p w14:paraId="0BB33CBC">
      <w:pPr>
        <w:pStyle w:val="3"/>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jc w:val="left"/>
        <w:textAlignment w:val="auto"/>
        <w:rPr>
          <w:rFonts w:hint="eastAsia" w:ascii="仿宋" w:hAnsi="仿宋" w:eastAsia="仿宋" w:cs="仿宋"/>
          <w:color w:val="231F20"/>
          <w:sz w:val="28"/>
          <w:szCs w:val="28"/>
          <w:highlight w:val="none"/>
          <w:lang w:val="en-US" w:eastAsia="en-US" w:bidi="ar-SA"/>
        </w:rPr>
      </w:pPr>
      <w:r>
        <w:rPr>
          <w:rFonts w:hint="eastAsia" w:ascii="仿宋" w:hAnsi="仿宋" w:eastAsia="仿宋" w:cs="仿宋"/>
          <w:color w:val="231F20"/>
          <w:sz w:val="28"/>
          <w:szCs w:val="28"/>
          <w:highlight w:val="none"/>
          <w:lang w:val="en-US" w:eastAsia="en-US" w:bidi="ar-SA"/>
        </w:rPr>
        <w:t>依照《中华人民共和国民法典》、《中华人民共和国招标投标法》及国家的</w:t>
      </w:r>
      <w:r>
        <w:rPr>
          <w:rFonts w:hint="eastAsia" w:ascii="仿宋" w:hAnsi="仿宋" w:eastAsia="仿宋" w:cs="仿宋"/>
          <w:color w:val="231F20"/>
          <w:sz w:val="28"/>
          <w:szCs w:val="28"/>
          <w:highlight w:val="none"/>
          <w:lang w:val="en-US" w:eastAsia="zh-CN" w:bidi="ar-SA"/>
        </w:rPr>
        <w:t>有关法</w:t>
      </w:r>
      <w:r>
        <w:rPr>
          <w:rFonts w:hint="eastAsia" w:ascii="仿宋" w:hAnsi="仿宋" w:eastAsia="仿宋" w:cs="仿宋"/>
          <w:color w:val="231F20"/>
          <w:sz w:val="28"/>
          <w:szCs w:val="28"/>
          <w:highlight w:val="none"/>
          <w:lang w:val="en-US" w:eastAsia="en-US" w:bidi="ar-SA"/>
        </w:rPr>
        <w:t>律、行政法规，遵循平等、自愿、公平和诚实信用的原则，双方就</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z w:val="28"/>
          <w:szCs w:val="28"/>
          <w:highlight w:val="none"/>
          <w:u w:val="single"/>
          <w:lang w:val="en-US" w:eastAsia="zh-CN"/>
        </w:rPr>
        <w:t xml:space="preserve"> 湛江经济技术开发区中科炼化项目安置小区（二期）无线远传水表改造项目施工 </w:t>
      </w:r>
      <w:r>
        <w:rPr>
          <w:rFonts w:hint="eastAsia" w:ascii="仿宋" w:hAnsi="仿宋" w:eastAsia="仿宋" w:cs="仿宋"/>
          <w:color w:val="231F20"/>
          <w:sz w:val="28"/>
          <w:szCs w:val="28"/>
          <w:highlight w:val="none"/>
          <w:lang w:val="en-US" w:eastAsia="en-US" w:bidi="ar-SA"/>
        </w:rPr>
        <w:t>招标代理事项协商一致，订立本合同。</w:t>
      </w:r>
    </w:p>
    <w:p w14:paraId="73B54906">
      <w:pPr>
        <w:pStyle w:val="6"/>
        <w:keepNext w:val="0"/>
        <w:keepLines w:val="0"/>
        <w:pageBreakBefore w:val="0"/>
        <w:widowControl w:val="0"/>
        <w:tabs>
          <w:tab w:val="left" w:pos="5397"/>
        </w:tabs>
        <w:kinsoku/>
        <w:wordWrap/>
        <w:overflowPunct/>
        <w:topLinePunct w:val="0"/>
        <w:autoSpaceDE w:val="0"/>
        <w:autoSpaceDN w:val="0"/>
        <w:bidi w:val="0"/>
        <w:adjustRightInd/>
        <w:snapToGrid/>
        <w:spacing w:before="0" w:line="360" w:lineRule="auto"/>
        <w:ind w:left="117"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一、工程概况</w:t>
      </w:r>
    </w:p>
    <w:p w14:paraId="32D2A9B7">
      <w:pPr>
        <w:pStyle w:val="6"/>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left="557" w:right="155"/>
        <w:jc w:val="left"/>
        <w:textAlignment w:val="auto"/>
        <w:rPr>
          <w:rFonts w:hint="eastAsia" w:ascii="仿宋" w:hAnsi="仿宋" w:eastAsia="仿宋" w:cs="仿宋"/>
          <w:color w:val="231F20"/>
          <w:sz w:val="28"/>
          <w:szCs w:val="28"/>
          <w:highlight w:val="none"/>
          <w:u w:val="single" w:color="auto"/>
          <w:lang w:val="en-US" w:eastAsia="zh-CN"/>
        </w:rPr>
      </w:pPr>
      <w:r>
        <w:rPr>
          <w:rFonts w:hint="eastAsia" w:ascii="仿宋" w:hAnsi="仿宋" w:eastAsia="仿宋" w:cs="仿宋"/>
          <w:color w:val="231F20"/>
          <w:sz w:val="28"/>
          <w:szCs w:val="28"/>
          <w:highlight w:val="none"/>
        </w:rPr>
        <w:t>工程名称</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lang w:val="en-US" w:eastAsia="zh-CN"/>
        </w:rPr>
        <w:t>湛江经济技术开发区中科炼化项目安置小区（二期）无线远传水表改造项目</w:t>
      </w:r>
      <w:r>
        <w:rPr>
          <w:rFonts w:hint="eastAsia" w:ascii="仿宋" w:hAnsi="仿宋" w:eastAsia="仿宋" w:cs="仿宋"/>
          <w:color w:val="231F20"/>
          <w:sz w:val="28"/>
          <w:szCs w:val="28"/>
          <w:highlight w:val="none"/>
          <w:u w:val="single" w:color="auto"/>
          <w:lang w:val="en-US" w:eastAsia="zh-CN"/>
        </w:rPr>
        <w:t xml:space="preserve"> </w:t>
      </w:r>
    </w:p>
    <w:p w14:paraId="20F40EFB">
      <w:pPr>
        <w:pStyle w:val="6"/>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left="557" w:right="155"/>
        <w:jc w:val="left"/>
        <w:textAlignment w:val="auto"/>
        <w:rPr>
          <w:rFonts w:hint="eastAsia" w:ascii="仿宋" w:hAnsi="仿宋" w:eastAsia="仿宋" w:cs="仿宋"/>
          <w:color w:val="231F20"/>
          <w:sz w:val="28"/>
          <w:szCs w:val="28"/>
          <w:highlight w:val="none"/>
          <w:u w:val="single" w:color="auto"/>
        </w:rPr>
      </w:pPr>
      <w:r>
        <w:rPr>
          <w:rFonts w:hint="eastAsia" w:ascii="仿宋" w:hAnsi="仿宋" w:eastAsia="仿宋" w:cs="仿宋"/>
          <w:color w:val="231F20"/>
          <w:sz w:val="28"/>
          <w:szCs w:val="28"/>
          <w:highlight w:val="none"/>
        </w:rPr>
        <w:t>地    点</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lang w:val="en-US" w:eastAsia="zh-CN"/>
        </w:rPr>
        <w:t xml:space="preserve">湛江经济技术开发区东海岛片区   </w:t>
      </w:r>
    </w:p>
    <w:p w14:paraId="12AA6AE5">
      <w:pPr>
        <w:keepNext w:val="0"/>
        <w:keepLines w:val="0"/>
        <w:pageBreakBefore w:val="0"/>
        <w:widowControl w:val="0"/>
        <w:numPr>
          <w:ilvl w:val="0"/>
          <w:numId w:val="0"/>
        </w:numPr>
        <w:shd w:val="solid" w:color="FFFFFF" w:fill="auto"/>
        <w:kinsoku/>
        <w:overflowPunct/>
        <w:topLinePunct w:val="0"/>
        <w:autoSpaceDN w:val="0"/>
        <w:bidi w:val="0"/>
        <w:adjustRightInd/>
        <w:snapToGrid/>
        <w:spacing w:line="560" w:lineRule="exact"/>
        <w:ind w:firstLine="560" w:firstLineChars="200"/>
        <w:textAlignment w:val="baseline"/>
        <w:rPr>
          <w:rFonts w:hint="eastAsia" w:ascii="仿宋" w:hAnsi="仿宋" w:eastAsia="仿宋" w:cs="仿宋"/>
          <w:color w:val="231F20"/>
          <w:sz w:val="28"/>
          <w:szCs w:val="28"/>
          <w:highlight w:val="none"/>
          <w:u w:val="single" w:color="231F20"/>
        </w:rPr>
      </w:pPr>
      <w:r>
        <w:rPr>
          <w:rFonts w:hint="eastAsia" w:ascii="仿宋" w:hAnsi="仿宋" w:eastAsia="仿宋" w:cs="仿宋"/>
          <w:color w:val="231F20"/>
          <w:sz w:val="28"/>
          <w:szCs w:val="28"/>
          <w:highlight w:val="none"/>
          <w:u w:val="none" w:color="auto"/>
          <w:lang w:val="en-US" w:eastAsia="zh-CN"/>
        </w:rPr>
        <w:t>规    模</w:t>
      </w:r>
      <w:r>
        <w:rPr>
          <w:rFonts w:hint="eastAsia" w:ascii="仿宋" w:hAnsi="仿宋" w:eastAsia="仿宋" w:cs="仿宋"/>
          <w:color w:val="231F20"/>
          <w:sz w:val="28"/>
          <w:szCs w:val="28"/>
          <w:highlight w:val="none"/>
          <w:u w:val="none" w:color="auto"/>
        </w:rPr>
        <w:t>：</w:t>
      </w:r>
      <w:r>
        <w:rPr>
          <w:rFonts w:hint="eastAsia" w:ascii="仿宋" w:hAnsi="仿宋" w:eastAsia="仿宋" w:cs="仿宋"/>
          <w:w w:val="98"/>
          <w:kern w:val="2"/>
          <w:sz w:val="28"/>
          <w:szCs w:val="28"/>
          <w:highlight w:val="none"/>
          <w:u w:val="single"/>
          <w:lang w:val="en-US" w:eastAsia="zh-CN" w:bidi="ar-SA"/>
        </w:rPr>
        <w:t>本项目针对小区现有的用水水表改装为无线远传水表，完善市政给水接驳点配套设施、更换损坏阀门。小区总表改造5套，居民入户水表改造约5229套，商铺水表改造约207套，绿化水表改造14套，消防水表改造3套，接驳改造1处，损坏阀门更换12套等。</w:t>
      </w:r>
      <w:bookmarkStart w:id="0" w:name="_GoBack"/>
      <w:bookmarkEnd w:id="0"/>
    </w:p>
    <w:p w14:paraId="28F0AD0B">
      <w:pPr>
        <w:pStyle w:val="6"/>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left="557" w:right="155"/>
        <w:jc w:val="left"/>
        <w:textAlignment w:val="auto"/>
        <w:rPr>
          <w:rFonts w:hint="eastAsia" w:ascii="仿宋" w:hAnsi="仿宋" w:eastAsia="仿宋" w:cs="仿宋"/>
          <w:color w:val="231F20"/>
          <w:sz w:val="28"/>
          <w:szCs w:val="28"/>
          <w:highlight w:val="none"/>
          <w:u w:val="single" w:color="auto"/>
          <w:lang w:val="en-US" w:eastAsia="zh-CN"/>
        </w:rPr>
      </w:pPr>
      <w:r>
        <w:rPr>
          <w:rFonts w:hint="eastAsia" w:ascii="仿宋" w:hAnsi="仿宋" w:eastAsia="仿宋" w:cs="仿宋"/>
          <w:color w:val="231F20"/>
          <w:sz w:val="28"/>
          <w:szCs w:val="28"/>
          <w:highlight w:val="none"/>
          <w:u w:val="none" w:color="auto"/>
          <w:lang w:val="en-US" w:eastAsia="zh-CN"/>
        </w:rPr>
        <w:t>招标方式：</w:t>
      </w:r>
      <w:r>
        <w:rPr>
          <w:rFonts w:hint="eastAsia" w:ascii="仿宋" w:hAnsi="仿宋" w:eastAsia="仿宋" w:cs="仿宋"/>
          <w:color w:val="231F20"/>
          <w:sz w:val="28"/>
          <w:szCs w:val="28"/>
          <w:highlight w:val="none"/>
          <w:u w:val="single" w:color="auto"/>
          <w:lang w:val="en-US" w:eastAsia="zh-CN"/>
        </w:rPr>
        <w:t xml:space="preserve">  企业采购  </w:t>
      </w:r>
    </w:p>
    <w:p w14:paraId="15F8B8E7">
      <w:pPr>
        <w:pStyle w:val="6"/>
        <w:keepNext w:val="0"/>
        <w:keepLines w:val="0"/>
        <w:pageBreakBefore w:val="0"/>
        <w:widowControl w:val="0"/>
        <w:numPr>
          <w:ilvl w:val="0"/>
          <w:numId w:val="1"/>
        </w:numPr>
        <w:tabs>
          <w:tab w:val="left" w:pos="9188"/>
        </w:tabs>
        <w:kinsoku/>
        <w:wordWrap/>
        <w:overflowPunct/>
        <w:topLinePunct w:val="0"/>
        <w:autoSpaceDE w:val="0"/>
        <w:autoSpaceDN w:val="0"/>
        <w:bidi w:val="0"/>
        <w:adjustRightInd/>
        <w:snapToGrid/>
        <w:spacing w:before="0" w:line="360" w:lineRule="auto"/>
        <w:ind w:right="155" w:firstLine="560" w:firstLineChars="200"/>
        <w:jc w:val="left"/>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委托人委托受托人为</w:t>
      </w:r>
      <w:r>
        <w:rPr>
          <w:rFonts w:hint="eastAsia" w:ascii="仿宋" w:hAnsi="仿宋" w:eastAsia="仿宋" w:cs="仿宋"/>
          <w:color w:val="231F20"/>
          <w:sz w:val="28"/>
          <w:szCs w:val="28"/>
          <w:highlight w:val="none"/>
          <w:u w:val="single"/>
          <w:lang w:val="en-US" w:eastAsia="zh-CN"/>
        </w:rPr>
        <w:t xml:space="preserve"> 湛江经济技术开发区中科炼化项目安置小区（二期）无线远传水表改造项目 </w:t>
      </w:r>
      <w:r>
        <w:rPr>
          <w:rFonts w:hint="eastAsia" w:ascii="仿宋" w:hAnsi="仿宋" w:eastAsia="仿宋" w:cs="仿宋"/>
          <w:color w:val="231F20"/>
          <w:sz w:val="28"/>
          <w:szCs w:val="28"/>
          <w:highlight w:val="none"/>
          <w:u w:val="none" w:color="auto"/>
          <w:lang w:val="en-US" w:eastAsia="zh-CN"/>
        </w:rPr>
        <w:t>施工</w:t>
      </w:r>
      <w:r>
        <w:rPr>
          <w:rFonts w:hint="eastAsia" w:ascii="仿宋" w:hAnsi="仿宋" w:eastAsia="仿宋" w:cs="仿宋"/>
          <w:color w:val="231F20"/>
          <w:sz w:val="28"/>
          <w:szCs w:val="28"/>
          <w:highlight w:val="none"/>
        </w:rPr>
        <w:t>招标代理机构，承担本工程</w:t>
      </w:r>
      <w:r>
        <w:rPr>
          <w:rFonts w:hint="eastAsia" w:ascii="仿宋" w:hAnsi="仿宋" w:eastAsia="仿宋" w:cs="仿宋"/>
          <w:color w:val="231F20"/>
          <w:sz w:val="28"/>
          <w:szCs w:val="28"/>
          <w:highlight w:val="none"/>
          <w:lang w:val="en-US" w:eastAsia="zh-CN"/>
        </w:rPr>
        <w:t>施工</w:t>
      </w:r>
      <w:r>
        <w:rPr>
          <w:rFonts w:hint="eastAsia" w:ascii="仿宋" w:hAnsi="仿宋" w:eastAsia="仿宋" w:cs="仿宋"/>
          <w:color w:val="231F20"/>
          <w:sz w:val="28"/>
          <w:szCs w:val="28"/>
          <w:highlight w:val="none"/>
        </w:rPr>
        <w:t>的招标代理工作。</w:t>
      </w:r>
    </w:p>
    <w:p w14:paraId="20A19AA9">
      <w:pPr>
        <w:pStyle w:val="6"/>
        <w:keepNext w:val="0"/>
        <w:keepLines w:val="0"/>
        <w:pageBreakBefore w:val="0"/>
        <w:widowControl w:val="0"/>
        <w:numPr>
          <w:ilvl w:val="0"/>
          <w:numId w:val="1"/>
        </w:numPr>
        <w:tabs>
          <w:tab w:val="left" w:pos="9188"/>
        </w:tabs>
        <w:kinsoku/>
        <w:wordWrap/>
        <w:overflowPunct/>
        <w:topLinePunct w:val="0"/>
        <w:autoSpaceDE w:val="0"/>
        <w:autoSpaceDN w:val="0"/>
        <w:bidi w:val="0"/>
        <w:adjustRightInd/>
        <w:snapToGrid/>
        <w:spacing w:before="0" w:line="360" w:lineRule="auto"/>
        <w:ind w:right="155" w:firstLine="560" w:firstLineChars="200"/>
        <w:jc w:val="left"/>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服务内容：根据有关规定，组织实施</w:t>
      </w:r>
      <w:r>
        <w:rPr>
          <w:rFonts w:hint="eastAsia" w:ascii="仿宋" w:hAnsi="仿宋" w:eastAsia="仿宋" w:cs="仿宋"/>
          <w:color w:val="231F20"/>
          <w:sz w:val="28"/>
          <w:szCs w:val="28"/>
          <w:highlight w:val="none"/>
          <w:lang w:val="en-US" w:eastAsia="zh-CN"/>
        </w:rPr>
        <w:t>湛江经济技术开发区中科炼化项目安置小区（二期）无线远传水表改造项目</w:t>
      </w:r>
      <w:r>
        <w:rPr>
          <w:rFonts w:hint="eastAsia" w:ascii="仿宋" w:hAnsi="仿宋" w:eastAsia="仿宋" w:cs="仿宋"/>
          <w:color w:val="231F20"/>
          <w:sz w:val="28"/>
          <w:szCs w:val="28"/>
          <w:highlight w:val="none"/>
        </w:rPr>
        <w:t>招标代理的各项工作。依法按照公开、公平、公正和诚实信用原则，组织</w:t>
      </w:r>
      <w:r>
        <w:rPr>
          <w:rFonts w:hint="eastAsia" w:ascii="仿宋" w:hAnsi="仿宋" w:eastAsia="仿宋" w:cs="仿宋"/>
          <w:color w:val="231F20"/>
          <w:sz w:val="28"/>
          <w:szCs w:val="28"/>
          <w:highlight w:val="none"/>
          <w:lang w:val="en-US" w:eastAsia="zh-CN"/>
        </w:rPr>
        <w:t>招标</w:t>
      </w:r>
      <w:r>
        <w:rPr>
          <w:rFonts w:hint="eastAsia" w:ascii="仿宋" w:hAnsi="仿宋" w:eastAsia="仿宋" w:cs="仿宋"/>
          <w:color w:val="231F20"/>
          <w:sz w:val="28"/>
          <w:szCs w:val="28"/>
          <w:highlight w:val="none"/>
        </w:rPr>
        <w:t>工作，维护各方的合法权益；应用专业技术与技能为委托人提供完成</w:t>
      </w:r>
      <w:r>
        <w:rPr>
          <w:rFonts w:hint="eastAsia" w:ascii="仿宋" w:hAnsi="仿宋" w:eastAsia="仿宋" w:cs="仿宋"/>
          <w:color w:val="231F20"/>
          <w:sz w:val="28"/>
          <w:szCs w:val="28"/>
          <w:highlight w:val="none"/>
          <w:lang w:val="en-US" w:eastAsia="zh-CN"/>
        </w:rPr>
        <w:t>招标</w:t>
      </w:r>
      <w:r>
        <w:rPr>
          <w:rFonts w:hint="eastAsia" w:ascii="仿宋" w:hAnsi="仿宋" w:eastAsia="仿宋" w:cs="仿宋"/>
          <w:color w:val="231F20"/>
          <w:sz w:val="28"/>
          <w:szCs w:val="28"/>
          <w:highlight w:val="none"/>
        </w:rPr>
        <w:t>工作相关的咨询服务；汇编、移交并保存采购全流程文件及其电子版；依法应尽的其他义务。</w:t>
      </w:r>
    </w:p>
    <w:p w14:paraId="48E13F81">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lang w:val="en-US" w:eastAsia="zh-CN"/>
        </w:rPr>
        <w:t>四、</w:t>
      </w:r>
      <w:r>
        <w:rPr>
          <w:rFonts w:hint="eastAsia" w:ascii="仿宋" w:hAnsi="仿宋" w:eastAsia="仿宋" w:cs="仿宋"/>
          <w:color w:val="231F20"/>
          <w:sz w:val="28"/>
          <w:szCs w:val="28"/>
          <w:highlight w:val="none"/>
        </w:rPr>
        <w:t>合同价款</w:t>
      </w:r>
    </w:p>
    <w:p w14:paraId="4CDFD915">
      <w:pPr>
        <w:pStyle w:val="6"/>
        <w:keepNext w:val="0"/>
        <w:keepLines w:val="0"/>
        <w:pageBreakBefore w:val="0"/>
        <w:widowControl w:val="0"/>
        <w:tabs>
          <w:tab w:val="left" w:pos="3197"/>
        </w:tabs>
        <w:kinsoku/>
        <w:wordWrap/>
        <w:overflowPunct/>
        <w:topLinePunct w:val="0"/>
        <w:autoSpaceDE w:val="0"/>
        <w:autoSpaceDN w:val="0"/>
        <w:bidi w:val="0"/>
        <w:adjustRightInd/>
        <w:snapToGrid/>
        <w:spacing w:before="0" w:line="360" w:lineRule="auto"/>
        <w:ind w:firstLine="560" w:firstLineChars="200"/>
        <w:jc w:val="left"/>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代理报酬为</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lang w:val="en-US" w:eastAsia="zh-CN"/>
        </w:rPr>
        <w:t>最高限价暂定为</w:t>
      </w:r>
      <w:r>
        <w:rPr>
          <w:rFonts w:hint="eastAsia" w:ascii="仿宋" w:hAnsi="仿宋" w:eastAsia="仿宋" w:cs="仿宋"/>
          <w:color w:val="231F20"/>
          <w:sz w:val="28"/>
          <w:szCs w:val="28"/>
          <w:highlight w:val="none"/>
          <w:u w:val="single"/>
          <w:lang w:val="en-US" w:eastAsia="zh-CN"/>
        </w:rPr>
        <w:t xml:space="preserve">     </w:t>
      </w:r>
      <w:r>
        <w:rPr>
          <w:rFonts w:hint="eastAsia" w:ascii="仿宋" w:hAnsi="仿宋" w:eastAsia="仿宋" w:cs="仿宋"/>
          <w:color w:val="231F20"/>
          <w:sz w:val="28"/>
          <w:szCs w:val="28"/>
          <w:highlight w:val="none"/>
          <w:lang w:val="en-US" w:eastAsia="zh-CN"/>
        </w:rPr>
        <w:t>元（大写：</w:t>
      </w:r>
      <w:r>
        <w:rPr>
          <w:rFonts w:hint="eastAsia" w:ascii="仿宋" w:hAnsi="仿宋" w:eastAsia="仿宋" w:cs="仿宋"/>
          <w:color w:val="231F20"/>
          <w:sz w:val="28"/>
          <w:szCs w:val="28"/>
          <w:highlight w:val="none"/>
          <w:u w:val="single"/>
          <w:lang w:val="en-US" w:eastAsia="zh-CN"/>
        </w:rPr>
        <w:t xml:space="preserve">                 </w:t>
      </w:r>
      <w:r>
        <w:rPr>
          <w:rFonts w:hint="eastAsia" w:ascii="仿宋" w:hAnsi="仿宋" w:eastAsia="仿宋" w:cs="仿宋"/>
          <w:color w:val="231F20"/>
          <w:sz w:val="28"/>
          <w:szCs w:val="28"/>
          <w:highlight w:val="none"/>
          <w:lang w:val="en-US" w:eastAsia="zh-CN"/>
        </w:rPr>
        <w:t>），最终招标代理服务费以中标（成交）金额作为计算基础，按照国家招标服务收费标准计算，在扣减招标代理投标时报价下浮率。</w:t>
      </w:r>
    </w:p>
    <w:p w14:paraId="5C3FF207">
      <w:pPr>
        <w:pStyle w:val="6"/>
        <w:keepNext w:val="0"/>
        <w:keepLines w:val="0"/>
        <w:pageBreakBefore w:val="0"/>
        <w:widowControl w:val="0"/>
        <w:tabs>
          <w:tab w:val="left" w:pos="3197"/>
        </w:tabs>
        <w:kinsoku/>
        <w:wordWrap/>
        <w:overflowPunct/>
        <w:topLinePunct w:val="0"/>
        <w:autoSpaceDE w:val="0"/>
        <w:autoSpaceDN w:val="0"/>
        <w:bidi w:val="0"/>
        <w:adjustRightInd/>
        <w:snapToGrid/>
        <w:spacing w:before="0" w:line="360" w:lineRule="auto"/>
        <w:ind w:firstLine="560" w:firstLineChars="200"/>
        <w:jc w:val="left"/>
        <w:textAlignment w:val="auto"/>
        <w:rPr>
          <w:rFonts w:hint="eastAsia" w:ascii="仿宋" w:hAnsi="仿宋" w:eastAsia="仿宋" w:cs="仿宋"/>
          <w:color w:val="231F20"/>
          <w:sz w:val="28"/>
          <w:szCs w:val="28"/>
          <w:highlight w:val="none"/>
          <w:lang w:val="zh-CN"/>
        </w:rPr>
      </w:pPr>
      <w:r>
        <w:rPr>
          <w:rFonts w:hint="eastAsia" w:ascii="仿宋" w:hAnsi="仿宋" w:eastAsia="仿宋" w:cs="仿宋"/>
          <w:color w:val="231F20"/>
          <w:sz w:val="28"/>
          <w:szCs w:val="28"/>
          <w:highlight w:val="none"/>
        </w:rPr>
        <w:t>委托代理报酬的</w:t>
      </w:r>
      <w:r>
        <w:rPr>
          <w:rFonts w:hint="eastAsia" w:ascii="仿宋" w:hAnsi="仿宋" w:eastAsia="仿宋" w:cs="仿宋"/>
          <w:color w:val="231F20"/>
          <w:sz w:val="28"/>
          <w:szCs w:val="28"/>
          <w:highlight w:val="none"/>
          <w:lang w:val="en-US" w:eastAsia="zh-CN"/>
        </w:rPr>
        <w:t>支付</w:t>
      </w:r>
      <w:r>
        <w:rPr>
          <w:rFonts w:hint="eastAsia" w:ascii="仿宋" w:hAnsi="仿宋" w:eastAsia="仿宋" w:cs="仿宋"/>
          <w:color w:val="231F20"/>
          <w:sz w:val="28"/>
          <w:szCs w:val="28"/>
          <w:highlight w:val="none"/>
        </w:rPr>
        <w:t>方式</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在受托人向中标人发出中标通知书后由中标人一次性支付代理费用</w:t>
      </w:r>
    </w:p>
    <w:p w14:paraId="4344D482">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四、组成本合同的文件</w:t>
      </w:r>
    </w:p>
    <w:p w14:paraId="708B1775">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1、本合同履行过程中双方以书面形式签署的补充和修正文件；</w:t>
      </w:r>
    </w:p>
    <w:p w14:paraId="22964714">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2、本合同协议书；</w:t>
      </w:r>
    </w:p>
    <w:p w14:paraId="3F48C27F">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3、本合同专用条款；</w:t>
      </w:r>
    </w:p>
    <w:p w14:paraId="51059D8F">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4、本合同通用条款。</w:t>
      </w:r>
    </w:p>
    <w:p w14:paraId="45A57A65">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24" w:firstLineChars="200"/>
        <w:textAlignment w:val="auto"/>
        <w:rPr>
          <w:rFonts w:hint="eastAsia" w:ascii="仿宋" w:hAnsi="仿宋" w:eastAsia="仿宋" w:cs="仿宋"/>
          <w:color w:val="231F20"/>
          <w:spacing w:val="-9"/>
          <w:sz w:val="28"/>
          <w:szCs w:val="28"/>
          <w:highlight w:val="none"/>
        </w:rPr>
      </w:pPr>
      <w:r>
        <w:rPr>
          <w:rFonts w:hint="eastAsia" w:ascii="仿宋" w:hAnsi="仿宋" w:eastAsia="仿宋" w:cs="仿宋"/>
          <w:color w:val="231F20"/>
          <w:spacing w:val="-9"/>
          <w:sz w:val="28"/>
          <w:szCs w:val="28"/>
          <w:highlight w:val="none"/>
        </w:rPr>
        <w:t>五、本协议书中的有关词语定义与本合同第一部分《通用条款》中分别赋予它们的定义相同。</w:t>
      </w:r>
    </w:p>
    <w:p w14:paraId="37A06638">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231F20"/>
          <w:sz w:val="28"/>
          <w:szCs w:val="28"/>
          <w:highlight w:val="none"/>
        </w:rPr>
        <w:t>六、</w:t>
      </w:r>
      <w:r>
        <w:rPr>
          <w:rFonts w:hint="eastAsia" w:ascii="仿宋" w:hAnsi="仿宋" w:eastAsia="仿宋" w:cs="仿宋"/>
          <w:sz w:val="28"/>
          <w:szCs w:val="28"/>
          <w:highlight w:val="none"/>
          <w:lang w:val="en-US" w:eastAsia="zh-CN"/>
        </w:rPr>
        <w:t>一旦因政府或行政主管部门提出变更或调整，委托人通知，受托人必须无条件服从并配合限期进行相关变更或者调整等。相关调整事项由双方协商再另行签订补充协议。</w:t>
      </w:r>
    </w:p>
    <w:p w14:paraId="04E77F79">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231F20"/>
          <w:sz w:val="28"/>
          <w:szCs w:val="28"/>
          <w:highlight w:val="none"/>
          <w:lang w:val="en-US" w:eastAsia="zh-CN"/>
        </w:rPr>
        <w:t>七、</w:t>
      </w:r>
      <w:r>
        <w:rPr>
          <w:rFonts w:hint="eastAsia" w:ascii="仿宋" w:hAnsi="仿宋" w:eastAsia="仿宋" w:cs="仿宋"/>
          <w:color w:val="231F20"/>
          <w:sz w:val="28"/>
          <w:szCs w:val="28"/>
          <w:highlight w:val="none"/>
        </w:rPr>
        <w:t>受托人向委托人承诺，按照本合同的约定，承担本合同专用条款中约定范围内的代理业务。</w:t>
      </w:r>
    </w:p>
    <w:p w14:paraId="432F1C5A">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eastAsia="zh-CN"/>
        </w:rPr>
      </w:pPr>
      <w:r>
        <w:rPr>
          <w:rFonts w:hint="eastAsia" w:ascii="仿宋" w:hAnsi="仿宋" w:eastAsia="仿宋" w:cs="仿宋"/>
          <w:color w:val="231F20"/>
          <w:sz w:val="28"/>
          <w:szCs w:val="28"/>
          <w:highlight w:val="none"/>
          <w:lang w:val="en-US" w:eastAsia="zh-CN"/>
        </w:rPr>
        <w:t>八</w:t>
      </w:r>
      <w:r>
        <w:rPr>
          <w:rFonts w:hint="eastAsia" w:ascii="仿宋" w:hAnsi="仿宋" w:eastAsia="仿宋" w:cs="仿宋"/>
          <w:color w:val="231F20"/>
          <w:sz w:val="28"/>
          <w:szCs w:val="28"/>
          <w:highlight w:val="none"/>
        </w:rPr>
        <w:t>、委托人向受托人承诺，按照本合同的约定，确保代理报酬的支付</w:t>
      </w:r>
      <w:r>
        <w:rPr>
          <w:rFonts w:hint="eastAsia" w:ascii="仿宋" w:hAnsi="仿宋" w:eastAsia="仿宋" w:cs="仿宋"/>
          <w:color w:val="231F20"/>
          <w:sz w:val="28"/>
          <w:szCs w:val="28"/>
          <w:highlight w:val="none"/>
          <w:lang w:eastAsia="zh-CN"/>
        </w:rPr>
        <w:t>。</w:t>
      </w:r>
    </w:p>
    <w:p w14:paraId="3CDF116D">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九、</w:t>
      </w:r>
      <w:r>
        <w:rPr>
          <w:rFonts w:hint="eastAsia" w:ascii="仿宋" w:hAnsi="仿宋" w:eastAsia="仿宋" w:cs="仿宋"/>
          <w:color w:val="231F20"/>
          <w:sz w:val="28"/>
          <w:szCs w:val="28"/>
          <w:highlight w:val="none"/>
        </w:rPr>
        <w:t>合同</w:t>
      </w:r>
      <w:r>
        <w:rPr>
          <w:rFonts w:hint="eastAsia" w:ascii="仿宋" w:hAnsi="仿宋" w:eastAsia="仿宋" w:cs="仿宋"/>
          <w:color w:val="231F20"/>
          <w:sz w:val="28"/>
          <w:szCs w:val="28"/>
          <w:highlight w:val="none"/>
          <w:lang w:val="en-US" w:eastAsia="zh-CN"/>
        </w:rPr>
        <w:t>签订</w:t>
      </w:r>
    </w:p>
    <w:p w14:paraId="1BF84B97">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本合同双方约定</w:t>
      </w:r>
      <w:r>
        <w:rPr>
          <w:rFonts w:hint="eastAsia" w:ascii="仿宋" w:hAnsi="仿宋" w:eastAsia="仿宋" w:cs="仿宋"/>
          <w:color w:val="231F20"/>
          <w:sz w:val="28"/>
          <w:szCs w:val="28"/>
          <w:highlight w:val="none"/>
          <w:u w:val="single" w:color="231F20"/>
        </w:rPr>
        <w:t xml:space="preserve"> 合同订立之日</w:t>
      </w:r>
      <w:r>
        <w:rPr>
          <w:rFonts w:hint="eastAsia" w:ascii="仿宋" w:hAnsi="仿宋" w:eastAsia="仿宋" w:cs="仿宋"/>
          <w:color w:val="231F20"/>
          <w:sz w:val="28"/>
          <w:szCs w:val="28"/>
          <w:highlight w:val="none"/>
          <w:u w:val="single" w:color="231F20"/>
          <w:lang w:val="en-US" w:eastAsia="zh-CN"/>
        </w:rPr>
        <w:t xml:space="preserve"> </w:t>
      </w:r>
      <w:r>
        <w:rPr>
          <w:rFonts w:hint="eastAsia" w:ascii="仿宋" w:hAnsi="仿宋" w:eastAsia="仿宋" w:cs="仿宋"/>
          <w:color w:val="000000"/>
          <w:spacing w:val="6"/>
          <w:sz w:val="28"/>
          <w:szCs w:val="28"/>
          <w:highlight w:val="none"/>
          <w:u w:val="single"/>
          <w:lang w:val="en-US" w:eastAsia="zh-CN"/>
        </w:rPr>
        <w:t xml:space="preserve"> </w:t>
      </w:r>
      <w:r>
        <w:rPr>
          <w:rFonts w:hint="eastAsia" w:ascii="仿宋" w:hAnsi="仿宋" w:eastAsia="仿宋" w:cs="仿宋"/>
          <w:color w:val="231F20"/>
          <w:sz w:val="28"/>
          <w:szCs w:val="28"/>
          <w:highlight w:val="none"/>
        </w:rPr>
        <w:t>后生效。</w:t>
      </w:r>
    </w:p>
    <w:p w14:paraId="0FD6A79C">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合同订立地点</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u w:val="single"/>
        </w:rPr>
        <w:t xml:space="preserve"> 湛江经济技术开发区</w:t>
      </w:r>
      <w:r>
        <w:rPr>
          <w:rFonts w:hint="eastAsia" w:ascii="仿宋" w:hAnsi="仿宋" w:eastAsia="仿宋" w:cs="仿宋"/>
          <w:color w:val="231F20"/>
          <w:sz w:val="28"/>
          <w:szCs w:val="28"/>
          <w:highlight w:val="none"/>
          <w:u w:val="single"/>
          <w:lang w:val="en-US" w:eastAsia="zh-CN"/>
        </w:rPr>
        <w:t xml:space="preserve"> </w:t>
      </w:r>
      <w:r>
        <w:rPr>
          <w:rFonts w:hint="eastAsia" w:ascii="仿宋" w:hAnsi="仿宋" w:eastAsia="仿宋" w:cs="仿宋"/>
          <w:color w:val="231F20"/>
          <w:sz w:val="28"/>
          <w:szCs w:val="28"/>
          <w:highlight w:val="none"/>
        </w:rPr>
        <w:t xml:space="preserve"> </w:t>
      </w:r>
    </w:p>
    <w:p w14:paraId="46EC4E9B">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以下无正文</w:t>
      </w:r>
    </w:p>
    <w:p w14:paraId="66CA7DE1">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委托人（盖章）：</w:t>
      </w:r>
      <w:r>
        <w:rPr>
          <w:rFonts w:hint="eastAsia" w:ascii="仿宋" w:hAnsi="仿宋" w:eastAsia="仿宋" w:cs="仿宋"/>
          <w:color w:val="231F20"/>
          <w:sz w:val="28"/>
          <w:szCs w:val="28"/>
          <w:highlight w:val="none"/>
          <w:u w:val="single"/>
          <w:lang w:val="en-US" w:eastAsia="zh-CN"/>
        </w:rPr>
        <w:t>湛江经济技术开发区东海岛开发投资有限公司</w:t>
      </w:r>
    </w:p>
    <w:p w14:paraId="796A93FC">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法定代表人（签字或盖章）：</w:t>
      </w:r>
    </w:p>
    <w:p w14:paraId="1384CC2D">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授权代理人（签字或盖章）：</w:t>
      </w:r>
    </w:p>
    <w:p w14:paraId="1DC4FFBC">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单位地址：</w:t>
      </w:r>
    </w:p>
    <w:p w14:paraId="698552D8">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签订日期：</w:t>
      </w:r>
    </w:p>
    <w:p w14:paraId="6831FE96">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p>
    <w:p w14:paraId="68AEE854">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受托人（盖章）：</w:t>
      </w:r>
    </w:p>
    <w:p w14:paraId="04F13CB3">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法定代表人（签字或盖章）：</w:t>
      </w:r>
    </w:p>
    <w:p w14:paraId="45AD195A">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授权代理人（签字或盖章）：</w:t>
      </w:r>
    </w:p>
    <w:p w14:paraId="41FC986B">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单位地址：</w:t>
      </w:r>
    </w:p>
    <w:p w14:paraId="04B3A637">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开户银行：</w:t>
      </w:r>
    </w:p>
    <w:p w14:paraId="56E4D60C">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账    号：</w:t>
      </w:r>
    </w:p>
    <w:p w14:paraId="5530C2BD">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签订日期：</w:t>
      </w:r>
    </w:p>
    <w:p w14:paraId="48C28FF7">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sectPr>
          <w:footerReference r:id="rId8" w:type="default"/>
          <w:pgSz w:w="11910" w:h="16840"/>
          <w:pgMar w:top="1580" w:right="1200" w:bottom="1020" w:left="1680" w:header="0" w:footer="832" w:gutter="0"/>
          <w:pgNumType w:fmt="decimal" w:start="1"/>
          <w:cols w:space="720" w:num="1"/>
        </w:sectPr>
      </w:pPr>
    </w:p>
    <w:p w14:paraId="25DCD6F3">
      <w:pPr>
        <w:pStyle w:val="6"/>
        <w:spacing w:before="0"/>
        <w:rPr>
          <w:sz w:val="20"/>
          <w:highlight w:val="none"/>
        </w:rPr>
      </w:pPr>
    </w:p>
    <w:p w14:paraId="56E35901">
      <w:pPr>
        <w:pStyle w:val="3"/>
        <w:tabs>
          <w:tab w:val="left" w:pos="1399"/>
        </w:tabs>
        <w:rPr>
          <w:rFonts w:hint="eastAsia" w:ascii="仿宋" w:hAnsi="仿宋" w:eastAsia="仿宋" w:cs="仿宋"/>
          <w:b/>
          <w:bCs/>
          <w:sz w:val="36"/>
          <w:szCs w:val="36"/>
          <w:highlight w:val="none"/>
        </w:rPr>
      </w:pPr>
      <w:r>
        <w:rPr>
          <w:rFonts w:hint="eastAsia" w:ascii="仿宋" w:hAnsi="仿宋" w:eastAsia="仿宋" w:cs="仿宋"/>
          <w:b/>
          <w:bCs/>
          <w:color w:val="231F20"/>
          <w:sz w:val="36"/>
          <w:szCs w:val="36"/>
          <w:highlight w:val="none"/>
        </w:rPr>
        <w:t>第一部分</w:t>
      </w:r>
      <w:r>
        <w:rPr>
          <w:rFonts w:hint="eastAsia" w:ascii="仿宋" w:hAnsi="仿宋" w:eastAsia="仿宋" w:cs="仿宋"/>
          <w:b/>
          <w:bCs/>
          <w:color w:val="231F20"/>
          <w:sz w:val="36"/>
          <w:szCs w:val="36"/>
          <w:highlight w:val="none"/>
        </w:rPr>
        <w:tab/>
      </w:r>
      <w:r>
        <w:rPr>
          <w:rFonts w:hint="eastAsia" w:ascii="仿宋" w:hAnsi="仿宋" w:eastAsia="仿宋" w:cs="仿宋"/>
          <w:b/>
          <w:bCs/>
          <w:color w:val="231F20"/>
          <w:sz w:val="36"/>
          <w:szCs w:val="36"/>
          <w:highlight w:val="none"/>
        </w:rPr>
        <w:t>通用条款</w:t>
      </w:r>
    </w:p>
    <w:p w14:paraId="144D4F73">
      <w:pPr>
        <w:pStyle w:val="6"/>
        <w:spacing w:before="0"/>
        <w:rPr>
          <w:rFonts w:hint="eastAsia" w:ascii="仿宋" w:hAnsi="仿宋" w:eastAsia="仿宋" w:cs="仿宋"/>
          <w:sz w:val="24"/>
          <w:szCs w:val="24"/>
          <w:highlight w:val="none"/>
        </w:rPr>
      </w:pPr>
    </w:p>
    <w:p w14:paraId="194ADC0E">
      <w:pPr>
        <w:pStyle w:val="6"/>
        <w:spacing w:before="0"/>
        <w:rPr>
          <w:rFonts w:hint="eastAsia" w:ascii="仿宋" w:hAnsi="仿宋" w:eastAsia="仿宋" w:cs="仿宋"/>
          <w:sz w:val="24"/>
          <w:szCs w:val="24"/>
          <w:highlight w:val="none"/>
        </w:rPr>
      </w:pPr>
    </w:p>
    <w:p w14:paraId="646431D8">
      <w:pPr>
        <w:pStyle w:val="4"/>
        <w:keepNext w:val="0"/>
        <w:keepLines w:val="0"/>
        <w:pageBreakBefore w:val="0"/>
        <w:widowControl w:val="0"/>
        <w:kinsoku/>
        <w:wordWrap/>
        <w:overflowPunct/>
        <w:topLinePunct w:val="0"/>
        <w:autoSpaceDE w:val="0"/>
        <w:autoSpaceDN w:val="0"/>
        <w:bidi w:val="0"/>
        <w:adjustRightInd/>
        <w:snapToGrid/>
        <w:spacing w:before="0" w:line="360" w:lineRule="auto"/>
        <w:ind w:left="657"/>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一、词语定义和适用法律</w:t>
      </w:r>
    </w:p>
    <w:p w14:paraId="391F007F">
      <w:pPr>
        <w:pStyle w:val="13"/>
        <w:keepNext w:val="0"/>
        <w:keepLines w:val="0"/>
        <w:pageBreakBefore w:val="0"/>
        <w:widowControl w:val="0"/>
        <w:numPr>
          <w:ilvl w:val="0"/>
          <w:numId w:val="2"/>
        </w:numPr>
        <w:tabs>
          <w:tab w:val="left" w:pos="876"/>
          <w:tab w:val="clear" w:pos="0"/>
        </w:tabs>
        <w:kinsoku/>
        <w:wordWrap/>
        <w:overflowPunct/>
        <w:topLinePunct w:val="0"/>
        <w:autoSpaceDE w:val="0"/>
        <w:autoSpaceDN w:val="0"/>
        <w:bidi w:val="0"/>
        <w:adjustRightInd/>
        <w:snapToGrid/>
        <w:spacing w:before="0" w:after="0" w:line="360" w:lineRule="auto"/>
        <w:ind w:left="0" w:leftChars="0" w:right="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词语定义</w:t>
      </w:r>
    </w:p>
    <w:p w14:paraId="4D633750">
      <w:pPr>
        <w:pStyle w:val="6"/>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0" w:lineRule="auto"/>
        <w:ind w:left="567" w:leftChars="0" w:right="0" w:rightChars="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下列词语除本合同专用条款另有约定外，应具有本条款所赋予的定义：</w:t>
      </w:r>
    </w:p>
    <w:p w14:paraId="7D83BE36">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招标代理合同：委托人将工程建设项目招标工作委托给具有相应招标代理资质</w:t>
      </w:r>
      <w:r>
        <w:rPr>
          <w:rFonts w:hint="eastAsia" w:ascii="仿宋" w:hAnsi="仿宋" w:eastAsia="仿宋" w:cs="仿宋"/>
          <w:color w:val="231F20"/>
          <w:spacing w:val="-2"/>
          <w:sz w:val="28"/>
          <w:szCs w:val="28"/>
          <w:highlight w:val="none"/>
        </w:rPr>
        <w:t>的受托</w:t>
      </w:r>
      <w:r>
        <w:rPr>
          <w:rFonts w:hint="eastAsia" w:ascii="仿宋" w:hAnsi="仿宋" w:eastAsia="仿宋" w:cs="仿宋"/>
          <w:color w:val="231F20"/>
          <w:sz w:val="28"/>
          <w:szCs w:val="28"/>
          <w:highlight w:val="none"/>
        </w:rPr>
        <w:t>人，实施招标活动签订的委托合同</w:t>
      </w:r>
      <w:r>
        <w:rPr>
          <w:rFonts w:hint="eastAsia" w:ascii="仿宋" w:hAnsi="仿宋" w:eastAsia="仿宋" w:cs="仿宋"/>
          <w:color w:val="231F20"/>
          <w:sz w:val="28"/>
          <w:szCs w:val="28"/>
          <w:highlight w:val="none"/>
          <w:lang w:eastAsia="zh-CN"/>
        </w:rPr>
        <w:t>。</w:t>
      </w:r>
    </w:p>
    <w:p w14:paraId="200165BE">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通用条款：是根据有关法律、行政法规和工程建设项目招标代理的需要所订立，通用于各类工程建设项目招标代理的条款。</w:t>
      </w:r>
    </w:p>
    <w:p w14:paraId="57C2B217">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lang w:val="en-US" w:eastAsia="en-US" w:bidi="ar-SA"/>
        </w:rPr>
        <w:t>专用条款：是委托人与受托人根据有关法律、行政法规规定，结合具体工程建</w:t>
      </w:r>
      <w:r>
        <w:rPr>
          <w:rFonts w:hint="eastAsia" w:ascii="仿宋" w:hAnsi="仿宋" w:eastAsia="仿宋" w:cs="仿宋"/>
          <w:color w:val="231F20"/>
          <w:spacing w:val="-8"/>
          <w:sz w:val="28"/>
          <w:szCs w:val="28"/>
          <w:highlight w:val="none"/>
        </w:rPr>
        <w:t>设项目招标代理的实际，经协商达成一致意见的条款，是对通用条款的具体化、补充或修改。</w:t>
      </w:r>
    </w:p>
    <w:p w14:paraId="42DBAD23">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委托人：指在合同中约定的，具有建设项目招标委托主体资格的当事人，以及取得该当事人资格的合法继承人。</w:t>
      </w:r>
    </w:p>
    <w:p w14:paraId="29C401C0">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3"/>
          <w:sz w:val="28"/>
          <w:szCs w:val="28"/>
          <w:highlight w:val="none"/>
        </w:rPr>
        <w:t>受托人：指在合同中约定的，被委托人接受的具有建设项目招标代理主体资格的当事</w:t>
      </w:r>
      <w:r>
        <w:rPr>
          <w:rFonts w:hint="eastAsia" w:ascii="仿宋" w:hAnsi="仿宋" w:eastAsia="仿宋" w:cs="仿宋"/>
          <w:color w:val="231F20"/>
          <w:sz w:val="28"/>
          <w:szCs w:val="28"/>
          <w:highlight w:val="none"/>
        </w:rPr>
        <w:t>人，以及取得该当事人资格的合法继承人。</w:t>
      </w:r>
    </w:p>
    <w:p w14:paraId="4B440225">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6"/>
          <w:sz w:val="28"/>
          <w:szCs w:val="28"/>
          <w:highlight w:val="none"/>
        </w:rPr>
        <w:t>招标代理项目负责人：指受托人在专用条款中指定的负责合同履行的代表。</w:t>
      </w:r>
    </w:p>
    <w:p w14:paraId="6295821F">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工程建设项目：指由委托人和受托人在合同中约定的委托代理招标的工程。</w:t>
      </w:r>
    </w:p>
    <w:p w14:paraId="44F6ED18">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招标代理业务：委托人委托受托人代理实施工程建设项目招标的工作内容。</w:t>
      </w:r>
    </w:p>
    <w:p w14:paraId="0984ADE8">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 xml:space="preserve">附加服务：指委托人和受托人在本合同通用条款 </w:t>
      </w:r>
      <w:r>
        <w:rPr>
          <w:rFonts w:hint="eastAsia" w:ascii="仿宋" w:hAnsi="仿宋" w:eastAsia="仿宋" w:cs="仿宋"/>
          <w:color w:val="231F20"/>
          <w:sz w:val="28"/>
          <w:szCs w:val="28"/>
          <w:highlight w:val="none"/>
        </w:rPr>
        <w:t>4.1</w:t>
      </w:r>
      <w:r>
        <w:rPr>
          <w:rFonts w:hint="eastAsia" w:ascii="仿宋" w:hAnsi="仿宋" w:eastAsia="仿宋" w:cs="仿宋"/>
          <w:color w:val="231F20"/>
          <w:spacing w:val="2"/>
          <w:sz w:val="28"/>
          <w:szCs w:val="28"/>
          <w:highlight w:val="none"/>
        </w:rPr>
        <w:t xml:space="preserve"> 款和专用条款 </w:t>
      </w:r>
      <w:r>
        <w:rPr>
          <w:rFonts w:hint="eastAsia" w:ascii="仿宋" w:hAnsi="仿宋" w:eastAsia="仿宋" w:cs="仿宋"/>
          <w:color w:val="231F20"/>
          <w:sz w:val="28"/>
          <w:szCs w:val="28"/>
          <w:highlight w:val="none"/>
        </w:rPr>
        <w:t>4.1 款中双方约定工作范围之外的附加工作。</w:t>
      </w:r>
    </w:p>
    <w:p w14:paraId="0A61B0CF">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代理报酬：委托人和受托人在合同中约定的，受托人按照约定应收取的代理报酬总额。</w:t>
      </w:r>
    </w:p>
    <w:p w14:paraId="517781BE">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图纸：指由委托人提供的满足招标需要的所有图纸、计算书、配套说明以及相关的技术资料。</w:t>
      </w:r>
    </w:p>
    <w:p w14:paraId="32E16CD0">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书面形式：指具有公章、法定代表人或授权代理人签字的合同书、信件和数据电文</w:t>
      </w:r>
      <w:r>
        <w:rPr>
          <w:rFonts w:hint="eastAsia" w:ascii="仿宋" w:hAnsi="仿宋" w:eastAsia="仿宋" w:cs="仿宋"/>
          <w:color w:val="231F20"/>
          <w:sz w:val="28"/>
          <w:szCs w:val="28"/>
          <w:highlight w:val="none"/>
        </w:rPr>
        <w:t>（包括电报、电传、传真）等可以有形地表现所载内容的形式。</w:t>
      </w:r>
    </w:p>
    <w:p w14:paraId="06E9B985">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违约责任：指合同一方不履行合同义务或履行合同义务不符合约定所应承担的责任。</w:t>
      </w:r>
    </w:p>
    <w:p w14:paraId="1439F90F">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索赔：指在合同履行过程中，对于并非自己的过错，而是应由对方承担责任的情况造成的实际损失，向对方提出经济补偿或其他的要求。</w:t>
      </w:r>
    </w:p>
    <w:p w14:paraId="5C19EFF4">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9"/>
          <w:sz w:val="28"/>
          <w:szCs w:val="28"/>
          <w:highlight w:val="none"/>
        </w:rPr>
        <w:t>不可抗力：指双方无法控制和不可预见的事件，但不包括双方的违约或疏忽。这些事件包括但不限于战争、严重火灾、洪水、台风、地震，或其他双方一致认为属于不可抗力的事件</w:t>
      </w:r>
    </w:p>
    <w:p w14:paraId="3F2B9F00">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小时或天：本合同中规定按小时计算时间的，从事件有效开始时计算</w:t>
      </w:r>
      <w:r>
        <w:rPr>
          <w:rFonts w:hint="eastAsia" w:ascii="仿宋" w:hAnsi="仿宋" w:eastAsia="仿宋" w:cs="仿宋"/>
          <w:color w:val="231F20"/>
          <w:spacing w:val="-9"/>
          <w:sz w:val="28"/>
          <w:szCs w:val="28"/>
          <w:highlight w:val="none"/>
        </w:rPr>
        <w:t>（不扣除休息时间</w:t>
      </w:r>
      <w:r>
        <w:rPr>
          <w:rFonts w:hint="eastAsia" w:ascii="仿宋" w:hAnsi="仿宋" w:eastAsia="仿宋" w:cs="仿宋"/>
          <w:color w:val="231F20"/>
          <w:spacing w:val="-119"/>
          <w:sz w:val="28"/>
          <w:szCs w:val="28"/>
          <w:highlight w:val="none"/>
        </w:rPr>
        <w:t>）</w:t>
      </w:r>
      <w:r>
        <w:rPr>
          <w:rFonts w:hint="eastAsia" w:ascii="仿宋" w:hAnsi="仿宋" w:eastAsia="仿宋" w:cs="仿宋"/>
          <w:color w:val="231F20"/>
          <w:sz w:val="28"/>
          <w:szCs w:val="28"/>
          <w:highlight w:val="none"/>
        </w:rPr>
        <w:t>；</w:t>
      </w:r>
      <w:r>
        <w:rPr>
          <w:rFonts w:hint="eastAsia" w:ascii="仿宋" w:hAnsi="仿宋" w:eastAsia="仿宋" w:cs="仿宋"/>
          <w:color w:val="231F20"/>
          <w:spacing w:val="-7"/>
          <w:sz w:val="28"/>
          <w:szCs w:val="28"/>
          <w:highlight w:val="none"/>
        </w:rPr>
        <w:t>规定按天计算时间的，开始当天不计入，从次日开始计算。时限的最后一天是休息日或者其他法</w:t>
      </w:r>
      <w:r>
        <w:rPr>
          <w:rFonts w:hint="eastAsia" w:ascii="仿宋" w:hAnsi="仿宋" w:eastAsia="仿宋" w:cs="仿宋"/>
          <w:color w:val="231F20"/>
          <w:spacing w:val="-5"/>
          <w:sz w:val="28"/>
          <w:szCs w:val="28"/>
          <w:highlight w:val="none"/>
        </w:rPr>
        <w:t xml:space="preserve">定节假日的，以节假日次日为时限的最后一天。时限的最后一天的截止时间为当日 </w:t>
      </w:r>
      <w:r>
        <w:rPr>
          <w:rFonts w:hint="eastAsia" w:ascii="仿宋" w:hAnsi="仿宋" w:eastAsia="仿宋" w:cs="仿宋"/>
          <w:color w:val="231F20"/>
          <w:sz w:val="28"/>
          <w:szCs w:val="28"/>
          <w:highlight w:val="none"/>
        </w:rPr>
        <w:t>24</w:t>
      </w:r>
      <w:r>
        <w:rPr>
          <w:rFonts w:hint="eastAsia" w:ascii="仿宋" w:hAnsi="仿宋" w:eastAsia="仿宋" w:cs="仿宋"/>
          <w:color w:val="231F20"/>
          <w:spacing w:val="-1"/>
          <w:sz w:val="28"/>
          <w:szCs w:val="28"/>
          <w:highlight w:val="none"/>
        </w:rPr>
        <w:t xml:space="preserve"> 时。</w:t>
      </w:r>
    </w:p>
    <w:p w14:paraId="24DB4D71">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合同文件及解释顺序</w:t>
      </w:r>
    </w:p>
    <w:p w14:paraId="418A15B6">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合同文件应能互相解释，互为说明。除本合同专用条款另有约定外，组成本合同的</w:t>
      </w:r>
      <w:r>
        <w:rPr>
          <w:rFonts w:hint="eastAsia" w:ascii="仿宋" w:hAnsi="仿宋" w:eastAsia="仿宋" w:cs="仿宋"/>
          <w:color w:val="231F20"/>
          <w:sz w:val="28"/>
          <w:szCs w:val="28"/>
          <w:highlight w:val="none"/>
        </w:rPr>
        <w:t>文件及优先解释顺序如下：</w:t>
      </w:r>
    </w:p>
    <w:p w14:paraId="78A02C59">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（1）本合同履行过程中双方以书面形式签署的补充和修正文件；</w:t>
      </w:r>
    </w:p>
    <w:p w14:paraId="6EB4857D">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（2）本合同协议书：</w:t>
      </w:r>
    </w:p>
    <w:p w14:paraId="59A18721">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（3）本合同专用条款；</w:t>
      </w:r>
    </w:p>
    <w:p w14:paraId="6DFBFE4E">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（4）本合同通用条款。</w:t>
      </w:r>
    </w:p>
    <w:p w14:paraId="3A8FB31D">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color w:val="231F20"/>
          <w:spacing w:val="-15"/>
          <w:sz w:val="28"/>
          <w:szCs w:val="28"/>
          <w:highlight w:val="none"/>
        </w:rPr>
      </w:pPr>
      <w:r>
        <w:rPr>
          <w:rFonts w:hint="eastAsia" w:ascii="仿宋" w:hAnsi="仿宋" w:eastAsia="仿宋" w:cs="仿宋"/>
          <w:color w:val="231F20"/>
          <w:spacing w:val="-15"/>
          <w:sz w:val="28"/>
          <w:szCs w:val="28"/>
          <w:highlight w:val="none"/>
          <w:lang w:val="en-US" w:eastAsia="en-US"/>
        </w:rPr>
        <w:t>当合同文件内容出现含糊不清或不相一致时，应在不影响招标代理业务正常进行的情况下，由</w:t>
      </w:r>
      <w:r>
        <w:rPr>
          <w:rFonts w:hint="eastAsia" w:ascii="仿宋" w:hAnsi="仿宋" w:eastAsia="仿宋" w:cs="仿宋"/>
          <w:color w:val="231F20"/>
          <w:spacing w:val="-15"/>
          <w:sz w:val="28"/>
          <w:szCs w:val="28"/>
          <w:highlight w:val="none"/>
        </w:rPr>
        <w:t>委托人和受托人协商解决。双方协商不成时，按本合同通用条款第 12 条关于争议的约定处理。</w:t>
      </w:r>
    </w:p>
    <w:p w14:paraId="7B860A74">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语言文字和适用法律</w:t>
      </w:r>
    </w:p>
    <w:p w14:paraId="42AB61FC">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语言文字</w:t>
      </w:r>
    </w:p>
    <w:p w14:paraId="5CEE5614">
      <w:pPr>
        <w:pStyle w:val="6"/>
        <w:keepNext w:val="0"/>
        <w:keepLines w:val="0"/>
        <w:pageBreakBefore w:val="0"/>
        <w:widowControl w:val="0"/>
        <w:kinsoku/>
        <w:wordWrap/>
        <w:overflowPunct/>
        <w:topLinePunct w:val="0"/>
        <w:autoSpaceDE w:val="0"/>
        <w:autoSpaceDN w:val="0"/>
        <w:bidi w:val="0"/>
        <w:adjustRightInd/>
        <w:snapToGrid/>
        <w:spacing w:before="0" w:line="360" w:lineRule="auto"/>
        <w:ind w:left="117" w:right="210" w:firstLine="44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64D2B425">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适用法律和行政法规</w:t>
      </w:r>
    </w:p>
    <w:p w14:paraId="5BB68F7B">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99"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本合同文件适用有关法律和行政法规。需要明示的法律和行政法规，双方可在本合同专用条款中约定。</w:t>
      </w:r>
    </w:p>
    <w:p w14:paraId="02D07A3D">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99" w:firstLine="562" w:firstLineChars="200"/>
        <w:textAlignment w:val="auto"/>
        <w:rPr>
          <w:rFonts w:hint="eastAsia" w:ascii="仿宋" w:hAnsi="仿宋" w:eastAsia="仿宋" w:cs="仿宋"/>
          <w:b/>
          <w:bCs/>
          <w:color w:val="231F20"/>
          <w:sz w:val="28"/>
          <w:szCs w:val="28"/>
          <w:highlight w:val="none"/>
        </w:rPr>
      </w:pPr>
      <w:r>
        <w:rPr>
          <w:rFonts w:hint="eastAsia" w:ascii="仿宋" w:hAnsi="仿宋" w:eastAsia="仿宋" w:cs="仿宋"/>
          <w:b/>
          <w:bCs/>
          <w:color w:val="231F20"/>
          <w:sz w:val="28"/>
          <w:szCs w:val="28"/>
          <w:highlight w:val="none"/>
          <w:lang w:val="en-US" w:eastAsia="zh-CN"/>
        </w:rPr>
        <w:t>二、</w:t>
      </w:r>
      <w:r>
        <w:rPr>
          <w:rFonts w:hint="eastAsia" w:ascii="仿宋" w:hAnsi="仿宋" w:eastAsia="仿宋" w:cs="仿宋"/>
          <w:b/>
          <w:bCs/>
          <w:color w:val="231F20"/>
          <w:sz w:val="28"/>
          <w:szCs w:val="28"/>
          <w:highlight w:val="none"/>
        </w:rPr>
        <w:t>双方一般权利和义务</w:t>
      </w:r>
    </w:p>
    <w:p w14:paraId="15D49D02">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委托人的义务</w:t>
      </w:r>
    </w:p>
    <w:p w14:paraId="032D4698">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委托人将委托招标代理工作的具体范围和内容在本合同专用条款中约定。</w:t>
      </w:r>
    </w:p>
    <w:p w14:paraId="47309757">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委托人按本合同专用条款约定的内容和时间完成下列工作：</w:t>
      </w:r>
    </w:p>
    <w:p w14:paraId="503D644E">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（1）向受托人提供本工程招标代理业务应具备的相关工程前期资料（如立项批准手续规划许可、报建证等）及资金落实情况资料；</w:t>
      </w:r>
    </w:p>
    <w:p w14:paraId="4D7260E4">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（2）向受托人提供完成本工程招标代理业务所需的全部技术资料和图纸，需要交底的须向受托人详细交底，并对提供资料的真实性、完整性、准确性负责；</w:t>
      </w:r>
    </w:p>
    <w:p w14:paraId="2B9787B8">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（3）向受托人提供保证招标工作顺利完成的条件，提供的条件在本合同专用条款内约定；</w:t>
      </w:r>
    </w:p>
    <w:p w14:paraId="2A8A212C">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（4）指定专人与受托人联系，指定人员的姓名、职务、职称在本合同专用条款内约定；</w:t>
      </w:r>
    </w:p>
    <w:p w14:paraId="2D5750CD">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（5）根据需要，作好与第三方的协调工作；</w:t>
      </w:r>
    </w:p>
    <w:p w14:paraId="1807A1E3">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（6）按本合同专用条款的约定支付代理报酬；</w:t>
      </w:r>
    </w:p>
    <w:p w14:paraId="7C9B2BE1">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（7）依法应尽的其他义务，双方在本合同专用条款内约定。</w:t>
      </w:r>
    </w:p>
    <w:p w14:paraId="150C846B">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lang w:val="en-US" w:eastAsia="en-US" w:bidi="ar-SA"/>
        </w:rPr>
        <w:t>受托人在履行招标代理业务过程中，提出的超出招标代理范围的合理化建议，</w:t>
      </w:r>
      <w:r>
        <w:rPr>
          <w:rFonts w:hint="eastAsia" w:ascii="仿宋" w:hAnsi="仿宋" w:eastAsia="仿宋" w:cs="仿宋"/>
          <w:color w:val="231F20"/>
          <w:spacing w:val="0"/>
          <w:sz w:val="28"/>
          <w:szCs w:val="28"/>
          <w:highlight w:val="none"/>
        </w:rPr>
        <w:t>经委托</w:t>
      </w:r>
      <w:r>
        <w:rPr>
          <w:rFonts w:hint="eastAsia" w:ascii="仿宋" w:hAnsi="仿宋" w:eastAsia="仿宋" w:cs="仿宋"/>
          <w:color w:val="231F20"/>
          <w:sz w:val="28"/>
          <w:szCs w:val="28"/>
          <w:highlight w:val="none"/>
        </w:rPr>
        <w:t>人同意并取得经济效益，委托人应向受托人支付一定的经济奖励。</w:t>
      </w:r>
    </w:p>
    <w:p w14:paraId="3D488418">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委托人负有对受托人为本合同提供的技术服务进行知识产权保护的责任。</w:t>
      </w:r>
    </w:p>
    <w:p w14:paraId="2132266B">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委托人未能履行以上各项义务，给受托人造成损失的，应当赔偿受托人的有关损失。</w:t>
      </w:r>
    </w:p>
    <w:p w14:paraId="5E456D91">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受托人的义务</w:t>
      </w:r>
    </w:p>
    <w:p w14:paraId="109CBEEE">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受托人应根据本合同专用条款中约定的委托招标代理业务的工作范围和内容，选择有足够经验的专职技术经济人员担任招标代理项目负责人。招标代理项目负责人的姓名、身份证号在专用条款内写明。</w:t>
      </w:r>
    </w:p>
    <w:p w14:paraId="206B64FE">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受托人按本合同专用条款约定的内容和时间完成下列工作：</w:t>
      </w:r>
    </w:p>
    <w:p w14:paraId="0F87955A">
      <w:pPr>
        <w:pStyle w:val="6"/>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依法按照公开、公平、公正和诚实信用原则，组织招标工作，维护各方的合法权益；</w:t>
      </w:r>
    </w:p>
    <w:p w14:paraId="360A65F2">
      <w:pPr>
        <w:pStyle w:val="6"/>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应用专业技术与技能为委托人提供完成招标工作相关的咨询服务；</w:t>
      </w:r>
    </w:p>
    <w:p w14:paraId="3AA5A082">
      <w:pPr>
        <w:pStyle w:val="6"/>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向委托人宣传有关工程招标的法律、行政法规和规章，解释合理的招标程序，以便得到委托人的支持和配合；</w:t>
      </w:r>
    </w:p>
    <w:p w14:paraId="3FC839DD">
      <w:pPr>
        <w:pStyle w:val="6"/>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依法应尽的其他义务，双方在本合同专用条款内约定。</w:t>
      </w:r>
    </w:p>
    <w:p w14:paraId="0854CADF">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w:t>
      </w:r>
      <w:r>
        <w:rPr>
          <w:rFonts w:hint="eastAsia" w:ascii="仿宋" w:hAnsi="仿宋" w:eastAsia="仿宋" w:cs="仿宋"/>
          <w:color w:val="231F20"/>
          <w:spacing w:val="0"/>
          <w:sz w:val="28"/>
          <w:szCs w:val="28"/>
          <w:highlight w:val="none"/>
        </w:rPr>
        <w:t>人应对招标工作中受托人所出具有关数据的计算、技术经济资料等的科学性和准确性负责。</w:t>
      </w:r>
    </w:p>
    <w:p w14:paraId="7DF76D22">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受托人不得接受与本合同工程建设项目中委托招标范围之内的相关的投标咨询业务。</w:t>
      </w:r>
    </w:p>
    <w:p w14:paraId="430E9FD6">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受托人为本合同提供技术服务的知识产权应属受托人专有。任何第三方如果提出侵权指控，受托人须与第三方交涉并承担由此而引起的一切法律责任和费用。</w:t>
      </w:r>
    </w:p>
    <w:p w14:paraId="4B9BAF1D">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未经委托人同意，受托人不得分包或转让本合同的任何权利和义务。</w:t>
      </w:r>
    </w:p>
    <w:p w14:paraId="4F12F2D1">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受托人不得接受所有投标人的礼品、宴请和任何其它好处，不得泄露招标、评标、定标过程中依法需要保密的内容。合同终止后，未经委托人同意，受托人不得泄漏与本合同工程相关的任何招标资料和情况。</w:t>
      </w:r>
    </w:p>
    <w:p w14:paraId="7D094F25">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受托人未能履行以上各项义务，给委托人造成损失的，应当赔偿委托人的有关损失。</w:t>
      </w:r>
    </w:p>
    <w:p w14:paraId="139D4491">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委托人的权利</w:t>
      </w:r>
    </w:p>
    <w:p w14:paraId="28444821">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委托人拥有下列权利：</w:t>
      </w:r>
    </w:p>
    <w:p w14:paraId="15A6D4DB">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（1）按合同约定，接收招标代理成果；</w:t>
      </w:r>
    </w:p>
    <w:p w14:paraId="7A38C858">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（2）向受托人询问本合同工程招标工作进展情况和相关内容或提出不违反法律、行政法规的建议；</w:t>
      </w:r>
    </w:p>
    <w:p w14:paraId="204104F2">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（3）审查受托人为本合同工程编制的各种文件，并提出修正意见；</w:t>
      </w:r>
    </w:p>
    <w:p w14:paraId="1C598FC1">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（4）要求受托人提交招标代理业务工作报告；</w:t>
      </w:r>
    </w:p>
    <w:p w14:paraId="70EF8BC3">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（5）与受托人协商，建议更换其不称职的招标代理从业人员；</w:t>
      </w:r>
    </w:p>
    <w:p w14:paraId="2D6FBF37">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（6）依法选择中标人；</w:t>
      </w:r>
    </w:p>
    <w:p w14:paraId="6E4F07EB">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20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598D7B70">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（8）依法享有的其他权利，双方在本合同专用条款内约定。</w:t>
      </w:r>
    </w:p>
    <w:p w14:paraId="0E536953">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受托人的权利</w:t>
      </w:r>
    </w:p>
    <w:p w14:paraId="43294216">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受托人拥有下列权利：</w:t>
      </w:r>
    </w:p>
    <w:p w14:paraId="2A9FC5ED">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（1）按合同约定收取委托代理报酬；</w:t>
      </w:r>
    </w:p>
    <w:p w14:paraId="1EB75C9C">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（2）对招标过程中应由委托人做出的决定，受托人有权提出建议；</w:t>
      </w:r>
    </w:p>
    <w:p w14:paraId="05F163B4">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（3）当委托人提供的资料不足或不明确时，有权要求委托人补足资料或作出明确的答复；</w:t>
      </w:r>
    </w:p>
    <w:p w14:paraId="3243FFD4">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（4）拒绝委托人提出的违反法律、行政法规的要求，并向委托人作出解释；</w:t>
      </w:r>
    </w:p>
    <w:p w14:paraId="2C56EDE0">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（5）有权参加委托人组织的涉及招标工作的所有会议和活动；</w:t>
      </w:r>
    </w:p>
    <w:p w14:paraId="570B838E">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（6）对于为本合同工程编制的所有文件拥有知识产权，委托人仅有使用或复制的权利；</w:t>
      </w:r>
    </w:p>
    <w:p w14:paraId="5F20E9EC">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（7）依法享有的其他权利，双方在本合同专用条款内约定。</w:t>
      </w:r>
    </w:p>
    <w:p w14:paraId="68CD5626">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562" w:firstLineChars="200"/>
        <w:textAlignment w:val="auto"/>
        <w:rPr>
          <w:rFonts w:hint="eastAsia" w:ascii="仿宋" w:hAnsi="仿宋" w:eastAsia="仿宋" w:cs="仿宋"/>
          <w:b/>
          <w:bCs/>
          <w:color w:val="231F20"/>
          <w:sz w:val="28"/>
          <w:szCs w:val="28"/>
          <w:highlight w:val="none"/>
        </w:rPr>
      </w:pPr>
      <w:r>
        <w:rPr>
          <w:rFonts w:hint="eastAsia" w:ascii="仿宋" w:hAnsi="仿宋" w:eastAsia="仿宋" w:cs="仿宋"/>
          <w:b/>
          <w:bCs/>
          <w:color w:val="231F20"/>
          <w:sz w:val="28"/>
          <w:szCs w:val="28"/>
          <w:highlight w:val="none"/>
        </w:rPr>
        <w:t>三、委托代理报酬与收取</w:t>
      </w:r>
    </w:p>
    <w:p w14:paraId="134EF68C">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w:t>
      </w:r>
    </w:p>
    <w:p w14:paraId="6B1C81A3">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双方按照本合同约定的招标代理业务范围，在本合同专用条款内约定委托代理报酬的计算方法、金额、币种、汇率和支付方式、支付时间。</w:t>
      </w:r>
    </w:p>
    <w:p w14:paraId="24F5CBDF">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受托人对所承接的招标代理业务需要出外考察的，其外出人员数量和费用，经委托人</w:t>
      </w:r>
      <w:r>
        <w:rPr>
          <w:rFonts w:hint="eastAsia" w:ascii="仿宋" w:hAnsi="仿宋" w:eastAsia="仿宋" w:cs="仿宋"/>
          <w:color w:val="231F20"/>
          <w:sz w:val="28"/>
          <w:szCs w:val="28"/>
          <w:highlight w:val="none"/>
        </w:rPr>
        <w:t>同意后，向委托人实报实销。</w:t>
      </w:r>
    </w:p>
    <w:p w14:paraId="7DE20BAF">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在招标代理业务范围内所发生的费用（如：评标会务费、评标专家的</w:t>
      </w:r>
      <w:r>
        <w:rPr>
          <w:rFonts w:hint="eastAsia" w:ascii="仿宋" w:hAnsi="仿宋" w:eastAsia="仿宋" w:cs="仿宋"/>
          <w:color w:val="231F20"/>
          <w:spacing w:val="-8"/>
          <w:sz w:val="28"/>
          <w:szCs w:val="28"/>
          <w:highlight w:val="none"/>
        </w:rPr>
        <w:t>差旅费、劳务费、公证费等</w:t>
      </w:r>
      <w:r>
        <w:rPr>
          <w:rFonts w:hint="eastAsia" w:ascii="仿宋" w:hAnsi="仿宋" w:eastAsia="仿宋" w:cs="仿宋"/>
          <w:color w:val="231F20"/>
          <w:spacing w:val="-110"/>
          <w:sz w:val="28"/>
          <w:szCs w:val="28"/>
          <w:highlight w:val="none"/>
        </w:rPr>
        <w:t>）</w:t>
      </w:r>
      <w:r>
        <w:rPr>
          <w:rFonts w:hint="eastAsia" w:ascii="仿宋" w:hAnsi="仿宋" w:eastAsia="仿宋" w:cs="仿宋"/>
          <w:color w:val="231F20"/>
          <w:sz w:val="28"/>
          <w:szCs w:val="28"/>
          <w:highlight w:val="none"/>
        </w:rPr>
        <w:t>，由委托人与受托人在补充条款中约定。</w:t>
      </w:r>
    </w:p>
    <w:p w14:paraId="11FC9AE0">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委托代理报酬的收取</w:t>
      </w:r>
    </w:p>
    <w:p w14:paraId="33770380">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由委托人支付代理报酬的，在本合同签订后 10 日内，委托人应向受托人支付不少于全</w:t>
      </w:r>
      <w:r>
        <w:rPr>
          <w:rFonts w:hint="eastAsia" w:ascii="仿宋" w:hAnsi="仿宋" w:eastAsia="仿宋" w:cs="仿宋"/>
          <w:color w:val="231F20"/>
          <w:spacing w:val="-5"/>
          <w:sz w:val="28"/>
          <w:szCs w:val="28"/>
          <w:highlight w:val="none"/>
        </w:rPr>
        <w:t xml:space="preserve">部代理报酬 </w:t>
      </w:r>
      <w:r>
        <w:rPr>
          <w:rFonts w:hint="eastAsia" w:ascii="仿宋" w:hAnsi="仿宋" w:eastAsia="仿宋" w:cs="仿宋"/>
          <w:color w:val="231F20"/>
          <w:sz w:val="28"/>
          <w:szCs w:val="28"/>
          <w:highlight w:val="none"/>
        </w:rPr>
        <w:t>20％的代理预付款，具体额度（或比例）双方在专用条款内约定。</w:t>
      </w:r>
    </w:p>
    <w:p w14:paraId="2CE463B1">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由中标人支付代理报酬的，在中标人与委托人签订承包合同 5 日内，将本合同约定的全部委托代理报酬一次性支付给受托人。</w:t>
      </w:r>
    </w:p>
    <w:p w14:paraId="40B54E2D">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受托人完成委托人委托的招标代理工作范围以外的工作，为附加服务项目，应收取的</w:t>
      </w:r>
      <w:r>
        <w:rPr>
          <w:rFonts w:hint="eastAsia" w:ascii="仿宋" w:hAnsi="仿宋" w:eastAsia="仿宋" w:cs="仿宋"/>
          <w:color w:val="231F20"/>
          <w:sz w:val="28"/>
          <w:szCs w:val="28"/>
          <w:highlight w:val="none"/>
        </w:rPr>
        <w:t>报酬由双方协商，签订补充协议。</w:t>
      </w:r>
    </w:p>
    <w:p w14:paraId="06851061">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委托人在本合同专用条款约定的支付时间内，未能如期支付代理预付费用，自应支付</w:t>
      </w:r>
      <w:r>
        <w:rPr>
          <w:rFonts w:hint="eastAsia" w:ascii="仿宋" w:hAnsi="仿宋" w:eastAsia="仿宋" w:cs="仿宋"/>
          <w:color w:val="231F20"/>
          <w:sz w:val="28"/>
          <w:szCs w:val="28"/>
          <w:highlight w:val="none"/>
        </w:rPr>
        <w:t>之日起，按同期银行贷款利率，计算支付代理预付费用的利息。</w:t>
      </w:r>
    </w:p>
    <w:p w14:paraId="7094FE8D">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委托人在本合同专用条款约定的支付时间内，未能如期支付代理报酬，除应承担违约</w:t>
      </w:r>
      <w:r>
        <w:rPr>
          <w:rFonts w:hint="eastAsia" w:ascii="仿宋" w:hAnsi="仿宋" w:eastAsia="仿宋" w:cs="仿宋"/>
          <w:color w:val="231F20"/>
          <w:sz w:val="28"/>
          <w:szCs w:val="28"/>
          <w:highlight w:val="none"/>
        </w:rPr>
        <w:t>责任外，还应按同期银行贷款利率，计算支付应付代理报酬的利息。</w:t>
      </w:r>
    </w:p>
    <w:p w14:paraId="321B8D3E">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委托代理报酬应由委托人按本合同专用条款约定的支付方法和时间，直接向受托人支</w:t>
      </w:r>
      <w:r>
        <w:rPr>
          <w:rFonts w:hint="eastAsia" w:ascii="仿宋" w:hAnsi="仿宋" w:eastAsia="仿宋" w:cs="仿宋"/>
          <w:color w:val="231F20"/>
          <w:spacing w:val="-8"/>
          <w:sz w:val="28"/>
          <w:szCs w:val="28"/>
          <w:highlight w:val="none"/>
        </w:rPr>
        <w:t>付；或受托人按照约定直接向中标人收取。</w:t>
      </w:r>
    </w:p>
    <w:p w14:paraId="2FBA87D7">
      <w:pPr>
        <w:pStyle w:val="13"/>
        <w:keepNext w:val="0"/>
        <w:keepLines w:val="0"/>
        <w:pageBreakBefore w:val="0"/>
        <w:widowControl w:val="0"/>
        <w:numPr>
          <w:ilvl w:val="0"/>
          <w:numId w:val="0"/>
        </w:numPr>
        <w:tabs>
          <w:tab w:val="left" w:pos="1005"/>
        </w:tabs>
        <w:kinsoku/>
        <w:wordWrap/>
        <w:overflowPunct/>
        <w:topLinePunct w:val="0"/>
        <w:autoSpaceDE w:val="0"/>
        <w:autoSpaceDN w:val="0"/>
        <w:bidi w:val="0"/>
        <w:adjustRightInd/>
        <w:snapToGrid/>
        <w:spacing w:before="0" w:after="0" w:line="360" w:lineRule="auto"/>
        <w:ind w:right="210" w:rightChars="0"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四、违约、索赔和争议</w:t>
      </w:r>
    </w:p>
    <w:p w14:paraId="76A6ED48">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违约</w:t>
      </w:r>
    </w:p>
    <w:p w14:paraId="5B3E4AE2">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委托人违约。 当发生下列情况时：</w:t>
      </w:r>
    </w:p>
    <w:p w14:paraId="29D19299">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（1）本合同通用条款第 4.2 款提到的委托人未按本合同专用条款的约定向委托人提供为保证招标工作顺利完成的条件，致使招标工作无法进行；</w:t>
      </w:r>
    </w:p>
    <w:p w14:paraId="5AB1E22D">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（2）本合同通用条款第 4.2 款提到的委托人未按本合同专用条款的约定向受托人支付委托代理报酬；</w:t>
      </w:r>
    </w:p>
    <w:p w14:paraId="2693D0D4">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（3）委托人不履行合同义务或不按合同约定履行义务的其他情况。</w:t>
      </w:r>
    </w:p>
    <w:p w14:paraId="01A85B41">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委托人承担违约责任，赔偿因其违约给受托人造成的经济损失，双方在本合同专用条款内约定委托人赔偿受托人损失的计算方法或委托人应当支付违约金的数额或计算方法。</w:t>
      </w:r>
    </w:p>
    <w:p w14:paraId="09BEA95D">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color w:val="231F20"/>
          <w:spacing w:val="-1"/>
          <w:sz w:val="28"/>
          <w:szCs w:val="28"/>
          <w:highlight w:val="none"/>
        </w:rPr>
      </w:pPr>
      <w:r>
        <w:rPr>
          <w:rFonts w:hint="eastAsia" w:ascii="仿宋" w:hAnsi="仿宋" w:eastAsia="仿宋" w:cs="仿宋"/>
          <w:color w:val="231F20"/>
          <w:spacing w:val="-1"/>
          <w:sz w:val="28"/>
          <w:szCs w:val="28"/>
          <w:highlight w:val="none"/>
        </w:rPr>
        <w:t>受托人违约。 当发生下列情况时：</w:t>
      </w:r>
    </w:p>
    <w:p w14:paraId="0D8C066C">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（1）本合同通用条款第 5.2 —（2）款提到的受托人未按本合同专用条款的约定，向委托人提供为完成招标工作的咨询服务；</w:t>
      </w:r>
    </w:p>
    <w:p w14:paraId="15BFB8D1">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（2）本合同通用条款第 5.4 款提到的受托人未按本合同专用条款的约定，接受了与本合同工程建设项目有关的投标咨询业务；</w:t>
      </w:r>
    </w:p>
    <w:p w14:paraId="4789C3A7">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（3）本合同通用条款第 5.7 款提到的受托人未按本合同专用条款的约定，泄露了与本合同工程相关的任何招标资料和情况；</w:t>
      </w:r>
    </w:p>
    <w:p w14:paraId="3C460604">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（4）受托人不履行合同义务或不按合同约定履行义务的其他情况。</w:t>
      </w:r>
    </w:p>
    <w:p w14:paraId="5EA6C177">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13"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r>
        <w:rPr>
          <w:rFonts w:hint="eastAsia" w:ascii="仿宋" w:hAnsi="仿宋" w:eastAsia="仿宋" w:cs="仿宋"/>
          <w:color w:val="231F20"/>
          <w:spacing w:val="-83"/>
          <w:sz w:val="28"/>
          <w:szCs w:val="28"/>
          <w:highlight w:val="none"/>
        </w:rPr>
        <w:t>）</w:t>
      </w:r>
      <w:r>
        <w:rPr>
          <w:rFonts w:hint="eastAsia" w:ascii="仿宋" w:hAnsi="仿宋" w:eastAsia="仿宋" w:cs="仿宋"/>
          <w:color w:val="231F20"/>
          <w:sz w:val="28"/>
          <w:szCs w:val="28"/>
          <w:highlight w:val="none"/>
        </w:rPr>
        <w:t>。</w:t>
      </w:r>
    </w:p>
    <w:p w14:paraId="2630DC28">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第三方违约。如果一方的违约被认定为是与第三方共同造成的，则应由合</w:t>
      </w:r>
      <w:r>
        <w:rPr>
          <w:rFonts w:hint="eastAsia" w:ascii="仿宋" w:hAnsi="仿宋" w:eastAsia="仿宋" w:cs="仿宋"/>
          <w:color w:val="231F20"/>
          <w:sz w:val="28"/>
          <w:szCs w:val="28"/>
          <w:highlight w:val="none"/>
        </w:rPr>
        <w:t>同双方中有违约的一方先行向另一方承担全部违约责任，再由承担违约责任的一方向第三方追索。</w:t>
      </w:r>
    </w:p>
    <w:p w14:paraId="6070FEA5">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索赔</w:t>
      </w:r>
    </w:p>
    <w:p w14:paraId="3D5794EF">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当事人一方向另一方提出索赔时，要有正当的索赔理由，且有索赔事件发生时的有效证据。</w:t>
      </w:r>
    </w:p>
    <w:p w14:paraId="53E5999A">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委托人未能按合同约定履行自己的各项义务，或者发生应由委托人承担责任的其他情况，给受托人造成损失，受托人可按下列程序以书面形式向委托人索赔：</w:t>
      </w:r>
    </w:p>
    <w:p w14:paraId="5FF72B0C">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（1）索赔事件发生后 7 天内，向委托人发出索赔报告及有关资料；</w:t>
      </w:r>
    </w:p>
    <w:p w14:paraId="4D5C3F09">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02"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（2）委托人收到受托人的索赔报告及有关资料后，于 7 天内给予答复，或要求受托人进一步补充索赔理由和证据；</w:t>
      </w:r>
    </w:p>
    <w:p w14:paraId="32E5D69D">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02"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（3）委托人在收到受托人送交的索赔报告和有关资料后 7 天内未予答复，或未对受托人作进一步要求，视为该项索赔已经认可。</w:t>
      </w:r>
    </w:p>
    <w:p w14:paraId="71167746">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lang w:val="en-US" w:eastAsia="en-US" w:bidi="ar-SA"/>
        </w:rPr>
        <w:t>受托人未能按合同约定履行自己的各项义务，或者发生应由受托人承</w:t>
      </w:r>
      <w:r>
        <w:rPr>
          <w:rFonts w:hint="eastAsia" w:ascii="仿宋" w:hAnsi="仿宋" w:eastAsia="仿宋" w:cs="仿宋"/>
          <w:color w:val="231F20"/>
          <w:sz w:val="28"/>
          <w:szCs w:val="28"/>
          <w:highlight w:val="none"/>
        </w:rPr>
        <w:t>担责任的其他情</w:t>
      </w:r>
      <w:r>
        <w:rPr>
          <w:rFonts w:hint="eastAsia" w:ascii="仿宋" w:hAnsi="仿宋" w:eastAsia="仿宋" w:cs="仿宋"/>
          <w:color w:val="231F20"/>
          <w:spacing w:val="-1"/>
          <w:sz w:val="28"/>
          <w:szCs w:val="28"/>
          <w:highlight w:val="none"/>
        </w:rPr>
        <w:t xml:space="preserve">况，给委托人造成经济损失，委托人可按 </w:t>
      </w:r>
      <w:r>
        <w:rPr>
          <w:rFonts w:hint="eastAsia" w:ascii="仿宋" w:hAnsi="仿宋" w:eastAsia="仿宋" w:cs="仿宋"/>
          <w:color w:val="231F20"/>
          <w:sz w:val="28"/>
          <w:szCs w:val="28"/>
          <w:highlight w:val="none"/>
        </w:rPr>
        <w:t>11.2</w:t>
      </w:r>
      <w:r>
        <w:rPr>
          <w:rFonts w:hint="eastAsia" w:ascii="仿宋" w:hAnsi="仿宋" w:eastAsia="仿宋" w:cs="仿宋"/>
          <w:color w:val="231F20"/>
          <w:spacing w:val="-1"/>
          <w:sz w:val="28"/>
          <w:szCs w:val="28"/>
          <w:highlight w:val="none"/>
        </w:rPr>
        <w:t xml:space="preserve"> 款确定的时限和程序向受托人提出索赔。</w:t>
      </w:r>
    </w:p>
    <w:p w14:paraId="0256BCE8">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争议</w:t>
      </w:r>
    </w:p>
    <w:p w14:paraId="1E1B71A7">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委托人和受托人履行合同时发生争议，可以和解或者向有关部门或机构申请调解。当事人不愿和解、调解或者和解、调解不成的，双方可以在本合同专用条款约定以下一种方式解决争议：</w:t>
      </w:r>
    </w:p>
    <w:p w14:paraId="0F1B3FDA">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（1）双方达成仲裁协议，向约定的仲裁委员会申请仲裁；</w:t>
      </w:r>
    </w:p>
    <w:p w14:paraId="512467E4">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（2）向有管辖权的人民法院起诉。</w:t>
      </w:r>
    </w:p>
    <w:p w14:paraId="0151B916">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五、合同变更、生效与终止</w:t>
      </w:r>
    </w:p>
    <w:p w14:paraId="501F7746">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合同变更或解除</w:t>
      </w:r>
    </w:p>
    <w:p w14:paraId="507E5439">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本合同签订后，由于委托人原因，使得受托人不能持续履行招标代理业务时，委托人应及时通知受托人暂停招标代理业务。当需要恢复招标代理业务时，应当在正式恢复前 7</w:t>
      </w:r>
      <w:r>
        <w:rPr>
          <w:rFonts w:hint="eastAsia" w:ascii="仿宋" w:hAnsi="仿宋" w:eastAsia="仿宋" w:cs="仿宋"/>
          <w:color w:val="231F20"/>
          <w:spacing w:val="5"/>
          <w:sz w:val="28"/>
          <w:szCs w:val="28"/>
          <w:highlight w:val="none"/>
        </w:rPr>
        <w:t xml:space="preserve"> 天通知受托人。</w:t>
      </w:r>
    </w:p>
    <w:p w14:paraId="5D6CAA69">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17"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若暂停时间超过六个月，当需要恢复招标代理业务时，委托人应支付重新启动该招标代理工作一定的补偿费用，具体计算方式经双方协商以补充协议确定。</w:t>
      </w:r>
    </w:p>
    <w:p w14:paraId="54726897">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本合同签订后，如因法律、行政法规发生变化或由于任何后续新颁布的法律、行政法规导致服务所需的成本或时间发生改变，则本合同约定的服务报酬和服务期限由双方签订补充协议进行相应调整。</w:t>
      </w:r>
    </w:p>
    <w:p w14:paraId="7A400D92">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本合同当事人一方要求变更或解除合同时，除法律、行政法规另有规定外，应与对方当事人协商一致并达成书面协议。未达成书面协议的，本合同依然有效。</w:t>
      </w:r>
    </w:p>
    <w:p w14:paraId="273FD5CB">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因解除合同使当事人一放遭受损失的，除依法可以免除责任外，应由责任方负责赔偿对方的损失，赔偿方法与金额由双方在协议书约定。</w:t>
      </w:r>
    </w:p>
    <w:p w14:paraId="11543539">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合同生效</w:t>
      </w:r>
    </w:p>
    <w:p w14:paraId="08C8A658">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除生效条件双方在协议书中另有约定外，本合同自双方签字盖章之日起生效。</w:t>
      </w:r>
    </w:p>
    <w:p w14:paraId="0FBADBD5">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合同终止</w:t>
      </w:r>
    </w:p>
    <w:p w14:paraId="3E51CF07">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5"/>
          <w:sz w:val="28"/>
          <w:szCs w:val="28"/>
          <w:highlight w:val="none"/>
        </w:rPr>
        <w:t>受托人完成委托人全部委托招标代理业务，且委托人或中标人支付了全部代理报酬</w:t>
      </w:r>
      <w:r>
        <w:rPr>
          <w:rFonts w:hint="eastAsia" w:ascii="仿宋" w:hAnsi="仿宋" w:eastAsia="仿宋" w:cs="仿宋"/>
          <w:color w:val="231F20"/>
          <w:sz w:val="28"/>
          <w:szCs w:val="28"/>
          <w:highlight w:val="none"/>
        </w:rPr>
        <w:t>（含附加服务的报酬）后本合同终止。</w:t>
      </w:r>
    </w:p>
    <w:p w14:paraId="78EC495B">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本合同终止并不影响各方应有的权利和应承担的义务。</w:t>
      </w:r>
    </w:p>
    <w:p w14:paraId="33A2F98C">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因不可抗力，致使当事人一方或双方不能履行本合同时，双方应协商确定本合同继续</w:t>
      </w:r>
      <w:r>
        <w:rPr>
          <w:rFonts w:hint="eastAsia" w:ascii="仿宋" w:hAnsi="仿宋" w:eastAsia="仿宋" w:cs="仿宋"/>
          <w:color w:val="231F20"/>
          <w:spacing w:val="5"/>
          <w:sz w:val="28"/>
          <w:szCs w:val="28"/>
          <w:highlight w:val="none"/>
        </w:rPr>
        <w:t>履行的条件或终止本合同。如果双方不能就本合同继续履行的条件或终止本合同达成一致意</w:t>
      </w:r>
      <w:r>
        <w:rPr>
          <w:rFonts w:hint="eastAsia" w:ascii="仿宋" w:hAnsi="仿宋" w:eastAsia="仿宋" w:cs="仿宋"/>
          <w:color w:val="231F20"/>
          <w:sz w:val="28"/>
          <w:szCs w:val="28"/>
          <w:highlight w:val="none"/>
        </w:rPr>
        <w:t>见，本合同自行终止。除委托人应付给受托人已完成工作的报酬外，各自承担相应的损失。</w:t>
      </w:r>
    </w:p>
    <w:p w14:paraId="327DF5A6">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本合同的权利和义务终止后，委托人和受托人应当遵循诚实信用原则，履行通知、协助、保密等义务。</w:t>
      </w:r>
    </w:p>
    <w:p w14:paraId="5808A7D0">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六、其他</w:t>
      </w:r>
    </w:p>
    <w:p w14:paraId="546A8924">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合同的份数</w:t>
      </w:r>
    </w:p>
    <w:p w14:paraId="08D04F89">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根据双方需要在本合同专用条款内约定。</w:t>
      </w:r>
    </w:p>
    <w:p w14:paraId="1A3C9A3A">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补充条款</w:t>
      </w:r>
    </w:p>
    <w:p w14:paraId="3CE7F00A">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双方根据有关法律、行政法规规定，结合本合同招标工程实际，经协商一致后，可对本合同通用条款未涉及的内容进行补充。</w:t>
      </w:r>
    </w:p>
    <w:p w14:paraId="4DE5EBE5">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仿宋" w:hAnsi="仿宋" w:eastAsia="仿宋" w:cs="仿宋"/>
          <w:sz w:val="28"/>
          <w:szCs w:val="28"/>
          <w:highlight w:val="none"/>
        </w:rPr>
        <w:sectPr>
          <w:footerReference r:id="rId9" w:type="default"/>
          <w:footerReference r:id="rId10" w:type="even"/>
          <w:pgSz w:w="11910" w:h="16840"/>
          <w:pgMar w:top="1580" w:right="1300" w:bottom="1020" w:left="1300" w:header="0" w:footer="832" w:gutter="0"/>
          <w:pgNumType w:fmt="decimal"/>
          <w:cols w:space="720" w:num="1"/>
        </w:sectPr>
      </w:pPr>
    </w:p>
    <w:p w14:paraId="432572FA">
      <w:pPr>
        <w:pStyle w:val="3"/>
        <w:keepNext w:val="0"/>
        <w:keepLines w:val="0"/>
        <w:pageBreakBefore w:val="0"/>
        <w:widowControl w:val="0"/>
        <w:tabs>
          <w:tab w:val="left" w:pos="1399"/>
        </w:tabs>
        <w:kinsoku/>
        <w:wordWrap/>
        <w:overflowPunct/>
        <w:topLinePunct w:val="0"/>
        <w:autoSpaceDE w:val="0"/>
        <w:autoSpaceDN w:val="0"/>
        <w:bidi w:val="0"/>
        <w:adjustRightInd/>
        <w:snapToGrid/>
        <w:spacing w:before="0" w:line="360" w:lineRule="auto"/>
        <w:ind w:right="98"/>
        <w:textAlignment w:val="auto"/>
        <w:rPr>
          <w:rFonts w:hint="eastAsia" w:ascii="仿宋" w:hAnsi="仿宋" w:eastAsia="仿宋" w:cs="仿宋"/>
          <w:b/>
          <w:bCs/>
          <w:sz w:val="36"/>
          <w:szCs w:val="36"/>
          <w:highlight w:val="none"/>
        </w:rPr>
      </w:pPr>
      <w:r>
        <w:rPr>
          <w:rFonts w:hint="eastAsia" w:ascii="仿宋" w:hAnsi="仿宋" w:eastAsia="仿宋" w:cs="仿宋"/>
          <w:b/>
          <w:bCs/>
          <w:color w:val="231F20"/>
          <w:sz w:val="36"/>
          <w:szCs w:val="36"/>
          <w:highlight w:val="none"/>
        </w:rPr>
        <w:t>第二部分</w:t>
      </w:r>
      <w:r>
        <w:rPr>
          <w:rFonts w:hint="eastAsia" w:ascii="仿宋" w:hAnsi="仿宋" w:eastAsia="仿宋" w:cs="仿宋"/>
          <w:b/>
          <w:bCs/>
          <w:color w:val="231F20"/>
          <w:sz w:val="36"/>
          <w:szCs w:val="36"/>
          <w:highlight w:val="none"/>
        </w:rPr>
        <w:tab/>
      </w:r>
      <w:r>
        <w:rPr>
          <w:rFonts w:hint="eastAsia" w:ascii="仿宋" w:hAnsi="仿宋" w:eastAsia="仿宋" w:cs="仿宋"/>
          <w:b/>
          <w:bCs/>
          <w:color w:val="231F20"/>
          <w:sz w:val="36"/>
          <w:szCs w:val="36"/>
          <w:highlight w:val="none"/>
        </w:rPr>
        <w:t>专用条款</w:t>
      </w:r>
    </w:p>
    <w:p w14:paraId="69846A8F">
      <w:pPr>
        <w:pStyle w:val="6"/>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仿宋" w:hAnsi="仿宋" w:eastAsia="仿宋" w:cs="仿宋"/>
          <w:sz w:val="28"/>
          <w:szCs w:val="28"/>
          <w:highlight w:val="none"/>
        </w:rPr>
      </w:pPr>
    </w:p>
    <w:p w14:paraId="6388048F">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一、词语定义和适用法律</w:t>
      </w:r>
    </w:p>
    <w:p w14:paraId="01271954">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合同文件及解释顺序</w:t>
      </w:r>
    </w:p>
    <w:p w14:paraId="10820051">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合同文件及解释顺序</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按通用条款  </w:t>
      </w:r>
      <w:r>
        <w:rPr>
          <w:rFonts w:hint="eastAsia" w:ascii="仿宋" w:hAnsi="仿宋" w:eastAsia="仿宋" w:cs="仿宋"/>
          <w:color w:val="231F20"/>
          <w:sz w:val="28"/>
          <w:szCs w:val="28"/>
          <w:highlight w:val="none"/>
          <w:u w:val="none" w:color="auto"/>
          <w:lang w:val="en-US" w:eastAsia="zh-CN"/>
        </w:rPr>
        <w:t>。</w:t>
      </w:r>
    </w:p>
    <w:p w14:paraId="3E20593F">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语言文字和适用法律</w:t>
      </w:r>
    </w:p>
    <w:p w14:paraId="19BDA382">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语言文字</w:t>
      </w:r>
    </w:p>
    <w:p w14:paraId="6FF7F700">
      <w:pPr>
        <w:pStyle w:val="6"/>
        <w:keepNext w:val="0"/>
        <w:keepLines w:val="0"/>
        <w:pageBreakBefore w:val="0"/>
        <w:widowControl w:val="0"/>
        <w:tabs>
          <w:tab w:val="left" w:pos="9078"/>
        </w:tabs>
        <w:kinsoku/>
        <w:wordWrap/>
        <w:overflowPunct/>
        <w:topLinePunct w:val="0"/>
        <w:autoSpaceDE w:val="0"/>
        <w:autoSpaceDN w:val="0"/>
        <w:bidi w:val="0"/>
        <w:adjustRightInd/>
        <w:snapToGrid/>
        <w:spacing w:before="0"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本合同采用的文字为：</w:t>
      </w:r>
      <w:r>
        <w:rPr>
          <w:rFonts w:hint="eastAsia" w:ascii="仿宋" w:hAnsi="仿宋" w:eastAsia="仿宋" w:cs="仿宋"/>
          <w:color w:val="231F20"/>
          <w:sz w:val="28"/>
          <w:szCs w:val="28"/>
          <w:highlight w:val="none"/>
          <w:u w:val="single"/>
          <w:lang w:val="en-US" w:eastAsia="zh-CN"/>
        </w:rPr>
        <w:t xml:space="preserve"> </w:t>
      </w:r>
      <w:r>
        <w:rPr>
          <w:rFonts w:hint="eastAsia" w:ascii="仿宋" w:hAnsi="仿宋" w:eastAsia="仿宋" w:cs="仿宋"/>
          <w:color w:val="231F20"/>
          <w:sz w:val="28"/>
          <w:szCs w:val="28"/>
          <w:highlight w:val="none"/>
          <w:u w:val="single" w:color="auto"/>
          <w:lang w:val="en-US" w:eastAsia="zh-CN" w:bidi="ar-SA"/>
        </w:rPr>
        <w:t xml:space="preserve">本合同文件使用汉语语言文字书写、解释和说明 </w:t>
      </w:r>
      <w:r>
        <w:rPr>
          <w:rFonts w:hint="eastAsia" w:ascii="仿宋" w:hAnsi="仿宋" w:eastAsia="仿宋" w:cs="仿宋"/>
          <w:color w:val="231F20"/>
          <w:sz w:val="28"/>
          <w:szCs w:val="28"/>
          <w:highlight w:val="none"/>
          <w:u w:val="none" w:color="auto"/>
          <w:lang w:val="en-US" w:eastAsia="zh-CN" w:bidi="ar-SA"/>
        </w:rPr>
        <w:t>。</w:t>
      </w:r>
    </w:p>
    <w:p w14:paraId="0BEA7615">
      <w:pPr>
        <w:widowControl w:val="0"/>
        <w:autoSpaceDE w:val="0"/>
        <w:autoSpaceDN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本合同需要明示的法律、行政法规</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u w:val="single" w:color="auto"/>
          <w:lang w:val="zh-CN" w:eastAsia="zh-CN" w:bidi="ar-SA"/>
        </w:rPr>
        <w:t>《中华人民共和国招标投标法》、广东省实施《中华人民共和国招标投标法》办法</w:t>
      </w:r>
      <w:r>
        <w:rPr>
          <w:rFonts w:hint="eastAsia" w:ascii="仿宋" w:hAnsi="仿宋" w:eastAsia="仿宋" w:cs="仿宋"/>
          <w:sz w:val="28"/>
          <w:szCs w:val="28"/>
          <w:highlight w:val="none"/>
        </w:rPr>
        <w:t>。</w:t>
      </w:r>
    </w:p>
    <w:p w14:paraId="05E1DCE9">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left="567" w:leftChars="0" w:right="0" w:rightChars="0"/>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二、双方一般权利和义务</w:t>
      </w:r>
    </w:p>
    <w:p w14:paraId="1AE1C14C">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委托人的义务</w:t>
      </w:r>
    </w:p>
    <w:p w14:paraId="20C51F6C">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委托招标代理工作的具体范围和内容</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lang w:val="en-US" w:eastAsia="zh-CN"/>
        </w:rPr>
        <w:t>湛江经济技术开发区中科炼化项目安置小区（二期）无线远传水表改造项目施工</w:t>
      </w:r>
      <w:r>
        <w:rPr>
          <w:rFonts w:hint="eastAsia" w:ascii="仿宋" w:hAnsi="仿宋" w:eastAsia="仿宋" w:cs="仿宋"/>
          <w:color w:val="231F20"/>
          <w:sz w:val="28"/>
          <w:szCs w:val="28"/>
          <w:highlight w:val="none"/>
          <w:u w:val="single" w:color="auto"/>
          <w:lang w:val="en-US" w:eastAsia="zh-CN"/>
        </w:rPr>
        <w:t>招标代理</w:t>
      </w:r>
      <w:r>
        <w:rPr>
          <w:rFonts w:hint="eastAsia" w:ascii="仿宋" w:hAnsi="仿宋" w:eastAsia="仿宋" w:cs="仿宋"/>
          <w:color w:val="231F20"/>
          <w:sz w:val="28"/>
          <w:szCs w:val="28"/>
          <w:highlight w:val="none"/>
          <w:u w:val="none" w:color="auto"/>
          <w:lang w:val="zh-CN" w:eastAsia="zh-CN" w:bidi="ar-SA"/>
        </w:rPr>
        <w:t>。</w:t>
      </w:r>
    </w:p>
    <w:p w14:paraId="0AE0E0E1">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委托人应按约定的时间和要求完成下列工作：</w:t>
      </w:r>
    </w:p>
    <w:p w14:paraId="303BA5FC">
      <w:pPr>
        <w:pStyle w:val="6"/>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eastAsia" w:ascii="仿宋" w:hAnsi="仿宋" w:eastAsia="仿宋" w:cs="仿宋"/>
          <w:color w:val="231F20"/>
          <w:sz w:val="28"/>
          <w:szCs w:val="28"/>
          <w:highlight w:val="none"/>
          <w:u w:val="none" w:color="auto"/>
        </w:rPr>
      </w:pPr>
      <w:r>
        <w:rPr>
          <w:rFonts w:hint="eastAsia" w:ascii="仿宋" w:hAnsi="仿宋" w:eastAsia="仿宋" w:cs="仿宋"/>
          <w:color w:val="231F20"/>
          <w:sz w:val="28"/>
          <w:szCs w:val="28"/>
          <w:highlight w:val="none"/>
        </w:rPr>
        <w:t>向受托人提供本工程招标代理业务应具备的相关工作前期资料（如立项批准手续、规划许可、报建证等）及资金落实情况资料的时间</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同委托时间</w:t>
      </w:r>
      <w:r>
        <w:rPr>
          <w:rFonts w:hint="eastAsia" w:ascii="仿宋" w:hAnsi="仿宋" w:eastAsia="仿宋" w:cs="仿宋"/>
          <w:color w:val="231F20"/>
          <w:sz w:val="28"/>
          <w:szCs w:val="28"/>
          <w:highlight w:val="none"/>
          <w:u w:val="none" w:color="auto"/>
        </w:rPr>
        <w:t>；</w:t>
      </w:r>
    </w:p>
    <w:p w14:paraId="3DC76C53">
      <w:pPr>
        <w:pStyle w:val="6"/>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56" w:firstLineChars="200"/>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向受托人提</w:t>
      </w:r>
      <w:r>
        <w:rPr>
          <w:rFonts w:hint="eastAsia" w:ascii="仿宋" w:hAnsi="仿宋" w:eastAsia="仿宋" w:cs="仿宋"/>
          <w:color w:val="231F20"/>
          <w:sz w:val="28"/>
          <w:szCs w:val="28"/>
          <w:highlight w:val="none"/>
        </w:rPr>
        <w:t>供完全代理招标业务所需的全部资料的时间</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同委托时间</w:t>
      </w:r>
      <w:r>
        <w:rPr>
          <w:rFonts w:hint="eastAsia" w:ascii="仿宋" w:hAnsi="仿宋" w:eastAsia="仿宋" w:cs="仿宋"/>
          <w:color w:val="231F20"/>
          <w:sz w:val="28"/>
          <w:szCs w:val="28"/>
          <w:highlight w:val="none"/>
          <w:u w:val="none" w:color="auto"/>
        </w:rPr>
        <w:t>；</w:t>
      </w:r>
    </w:p>
    <w:p w14:paraId="05AA344E">
      <w:pPr>
        <w:pStyle w:val="6"/>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向受托人提供保证招标工作顺利完成的条件</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rPr>
        <w:t>；</w:t>
      </w:r>
    </w:p>
    <w:p w14:paraId="293D12E8">
      <w:pPr>
        <w:pStyle w:val="6"/>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指定的与受托人联系的人员</w:t>
      </w:r>
    </w:p>
    <w:p w14:paraId="315C2EAF">
      <w:pPr>
        <w:pStyle w:val="6"/>
        <w:keepNext w:val="0"/>
        <w:keepLines w:val="0"/>
        <w:pageBreakBefore w:val="0"/>
        <w:widowControl w:val="0"/>
        <w:tabs>
          <w:tab w:val="left" w:pos="7322"/>
        </w:tabs>
        <w:kinsoku/>
        <w:wordWrap/>
        <w:overflowPunct/>
        <w:topLinePunct w:val="0"/>
        <w:autoSpaceDE w:val="0"/>
        <w:autoSpaceDN w:val="0"/>
        <w:bidi w:val="0"/>
        <w:adjustRightInd/>
        <w:snapToGrid/>
        <w:spacing w:before="0" w:line="360" w:lineRule="auto"/>
        <w:ind w:right="2081" w:firstLine="560" w:firstLineChars="200"/>
        <w:jc w:val="both"/>
        <w:textAlignment w:val="auto"/>
        <w:rPr>
          <w:rFonts w:hint="eastAsia" w:ascii="仿宋" w:hAnsi="仿宋" w:eastAsia="仿宋" w:cs="仿宋"/>
          <w:sz w:val="28"/>
          <w:szCs w:val="28"/>
          <w:highlight w:val="none"/>
          <w:u w:val="single" w:color="auto"/>
          <w:lang w:val="en-US" w:eastAsia="zh-CN"/>
        </w:rPr>
      </w:pPr>
      <w:r>
        <w:rPr>
          <w:rFonts w:hint="eastAsia" w:ascii="仿宋" w:hAnsi="仿宋" w:eastAsia="仿宋" w:cs="仿宋"/>
          <w:color w:val="231F20"/>
          <w:sz w:val="28"/>
          <w:szCs w:val="28"/>
          <w:highlight w:val="none"/>
        </w:rPr>
        <w:t>姓名</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林工  </w:t>
      </w:r>
      <w:r>
        <w:rPr>
          <w:rFonts w:hint="eastAsia" w:ascii="仿宋" w:hAnsi="仿宋" w:eastAsia="仿宋" w:cs="仿宋"/>
          <w:color w:val="231F20"/>
          <w:sz w:val="28"/>
          <w:szCs w:val="28"/>
          <w:highlight w:val="none"/>
          <w:u w:val="none" w:color="auto"/>
          <w:lang w:val="en-US" w:eastAsia="zh-CN"/>
        </w:rPr>
        <w:t>；</w:t>
      </w:r>
      <w:r>
        <w:rPr>
          <w:rFonts w:hint="eastAsia" w:ascii="仿宋" w:hAnsi="仿宋" w:eastAsia="仿宋" w:cs="仿宋"/>
          <w:color w:val="231F20"/>
          <w:sz w:val="28"/>
          <w:szCs w:val="28"/>
          <w:highlight w:val="none"/>
        </w:rPr>
        <w:t>电话</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0759-3618179  </w:t>
      </w:r>
      <w:r>
        <w:rPr>
          <w:rFonts w:hint="eastAsia" w:ascii="仿宋" w:hAnsi="仿宋" w:eastAsia="仿宋" w:cs="仿宋"/>
          <w:color w:val="231F20"/>
          <w:sz w:val="28"/>
          <w:szCs w:val="28"/>
          <w:highlight w:val="none"/>
          <w:u w:val="none" w:color="auto"/>
          <w:lang w:val="en-US" w:eastAsia="zh-CN"/>
        </w:rPr>
        <w:t>；</w:t>
      </w:r>
    </w:p>
    <w:p w14:paraId="44FA48A5">
      <w:pPr>
        <w:pStyle w:val="6"/>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231F20"/>
          <w:sz w:val="28"/>
          <w:szCs w:val="28"/>
          <w:highlight w:val="none"/>
        </w:rPr>
        <w:t>需要与第三方协调的工作</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rPr>
        <w:t>；</w:t>
      </w:r>
    </w:p>
    <w:p w14:paraId="3A5B17E4">
      <w:pPr>
        <w:pStyle w:val="6"/>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231F20"/>
          <w:sz w:val="28"/>
          <w:szCs w:val="28"/>
          <w:highlight w:val="none"/>
        </w:rPr>
        <w:t>应尽的其他义务</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 xml:space="preserve">   /      </w:t>
      </w:r>
      <w:r>
        <w:rPr>
          <w:rFonts w:hint="eastAsia" w:ascii="仿宋" w:hAnsi="仿宋" w:eastAsia="仿宋" w:cs="仿宋"/>
          <w:color w:val="231F20"/>
          <w:sz w:val="28"/>
          <w:szCs w:val="28"/>
          <w:highlight w:val="none"/>
          <w:u w:val="none" w:color="auto"/>
          <w:lang w:val="en-US" w:eastAsia="zh-CN"/>
        </w:rPr>
        <w:t>；</w:t>
      </w:r>
    </w:p>
    <w:p w14:paraId="34F59B5F">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受托人的义务</w:t>
      </w:r>
    </w:p>
    <w:p w14:paraId="71CA4BBA">
      <w:pPr>
        <w:pStyle w:val="13"/>
        <w:keepNext w:val="0"/>
        <w:keepLines w:val="0"/>
        <w:pageBreakBefore w:val="0"/>
        <w:widowControl w:val="0"/>
        <w:numPr>
          <w:ilvl w:val="1"/>
          <w:numId w:val="4"/>
        </w:numPr>
        <w:tabs>
          <w:tab w:val="left" w:pos="776"/>
          <w:tab w:val="clear" w:pos="420"/>
        </w:tabs>
        <w:kinsoku/>
        <w:wordWrap w:val="0"/>
        <w:overflowPunct/>
        <w:topLinePunct w:val="0"/>
        <w:autoSpaceDE w:val="0"/>
        <w:autoSpaceDN w:val="0"/>
        <w:bidi w:val="0"/>
        <w:adjustRightInd/>
        <w:snapToGrid/>
        <w:spacing w:before="0" w:after="0" w:line="360" w:lineRule="auto"/>
        <w:ind w:left="0" w:leftChars="0" w:right="0" w:rightChars="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招标代理项目负责人姓名</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rPr>
        <w:t>电话</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none" w:color="auto"/>
          <w:lang w:val="en-US" w:eastAsia="zh-CN"/>
        </w:rPr>
        <w:t>；</w:t>
      </w:r>
    </w:p>
    <w:p w14:paraId="11A0B370">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受托人应按约定的时间和要求完全下列工作：</w:t>
      </w:r>
    </w:p>
    <w:p w14:paraId="7DA1B046">
      <w:pPr>
        <w:widowControl w:val="0"/>
        <w:autoSpaceDE w:val="0"/>
        <w:autoSpaceDN w:val="0"/>
        <w:spacing w:line="360" w:lineRule="auto"/>
        <w:ind w:firstLine="556" w:firstLineChars="200"/>
        <w:rPr>
          <w:rFonts w:hint="eastAsia" w:ascii="仿宋" w:hAnsi="仿宋" w:eastAsia="仿宋" w:cs="仿宋"/>
          <w:color w:val="231F20"/>
          <w:spacing w:val="-165"/>
          <w:sz w:val="28"/>
          <w:szCs w:val="28"/>
          <w:highlight w:val="none"/>
        </w:rPr>
      </w:pPr>
      <w:r>
        <w:rPr>
          <w:rFonts w:hint="eastAsia" w:ascii="仿宋" w:hAnsi="仿宋" w:eastAsia="仿宋" w:cs="仿宋"/>
          <w:color w:val="231F20"/>
          <w:spacing w:val="-1"/>
          <w:sz w:val="28"/>
          <w:szCs w:val="28"/>
          <w:highlight w:val="none"/>
        </w:rPr>
        <w:t>组织招标工作的内容和时间</w:t>
      </w:r>
      <w:r>
        <w:rPr>
          <w:rFonts w:hint="eastAsia" w:ascii="仿宋" w:hAnsi="仿宋" w:eastAsia="仿宋" w:cs="仿宋"/>
          <w:color w:val="231F20"/>
          <w:spacing w:val="-165"/>
          <w:sz w:val="28"/>
          <w:szCs w:val="28"/>
          <w:highlight w:val="none"/>
        </w:rPr>
        <w:t>：</w:t>
      </w:r>
    </w:p>
    <w:p w14:paraId="3440DC6C">
      <w:pPr>
        <w:widowControl w:val="0"/>
        <w:numPr>
          <w:ilvl w:val="0"/>
          <w:numId w:val="6"/>
        </w:numPr>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组织招标工作的内容和时间：</w:t>
      </w:r>
    </w:p>
    <w:p w14:paraId="086FEE71">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①委托方送齐资料后</w:t>
      </w:r>
      <w:r>
        <w:rPr>
          <w:rFonts w:hint="eastAsia" w:ascii="仿宋" w:hAnsi="仿宋" w:eastAsia="仿宋" w:cs="仿宋"/>
          <w:color w:val="231F20"/>
          <w:spacing w:val="-1"/>
          <w:sz w:val="28"/>
          <w:szCs w:val="28"/>
          <w:highlight w:val="none"/>
          <w:u w:val="single"/>
          <w:lang w:val="en-US" w:eastAsia="zh-CN"/>
        </w:rPr>
        <w:t xml:space="preserve">    </w:t>
      </w:r>
      <w:r>
        <w:rPr>
          <w:rFonts w:hint="eastAsia" w:ascii="仿宋" w:hAnsi="仿宋" w:eastAsia="仿宋" w:cs="仿宋"/>
          <w:color w:val="231F20"/>
          <w:spacing w:val="-1"/>
          <w:sz w:val="28"/>
          <w:szCs w:val="28"/>
          <w:highlight w:val="none"/>
          <w:lang w:val="zh-CN"/>
        </w:rPr>
        <w:t>天内</w:t>
      </w:r>
      <w:r>
        <w:rPr>
          <w:rFonts w:hint="eastAsia" w:ascii="仿宋" w:hAnsi="仿宋" w:eastAsia="仿宋" w:cs="仿宋"/>
          <w:color w:val="231F20"/>
          <w:spacing w:val="-1"/>
          <w:sz w:val="28"/>
          <w:szCs w:val="28"/>
          <w:highlight w:val="none"/>
          <w:lang w:val="en-US" w:eastAsia="zh-CN"/>
        </w:rPr>
        <w:t>提供</w:t>
      </w:r>
      <w:r>
        <w:rPr>
          <w:rFonts w:hint="eastAsia" w:ascii="仿宋" w:hAnsi="仿宋" w:eastAsia="仿宋" w:cs="仿宋"/>
          <w:color w:val="231F20"/>
          <w:spacing w:val="-1"/>
          <w:sz w:val="28"/>
          <w:szCs w:val="28"/>
          <w:highlight w:val="none"/>
          <w:lang w:val="zh-CN"/>
        </w:rPr>
        <w:t>招标文件</w:t>
      </w:r>
    </w:p>
    <w:p w14:paraId="2CB9C0D6">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②</w:t>
      </w:r>
      <w:r>
        <w:rPr>
          <w:rFonts w:hint="eastAsia" w:ascii="仿宋" w:hAnsi="仿宋" w:eastAsia="仿宋" w:cs="仿宋"/>
          <w:color w:val="231F20"/>
          <w:spacing w:val="-1"/>
          <w:sz w:val="28"/>
          <w:szCs w:val="28"/>
          <w:highlight w:val="none"/>
          <w:lang w:val="en-US" w:eastAsia="zh-CN"/>
        </w:rPr>
        <w:t>配合委托方组织</w:t>
      </w:r>
      <w:r>
        <w:rPr>
          <w:rFonts w:hint="eastAsia" w:ascii="仿宋" w:hAnsi="仿宋" w:eastAsia="仿宋" w:cs="仿宋"/>
          <w:color w:val="231F20"/>
          <w:spacing w:val="-1"/>
          <w:sz w:val="28"/>
          <w:szCs w:val="28"/>
          <w:highlight w:val="none"/>
          <w:lang w:val="zh-CN"/>
        </w:rPr>
        <w:t>招标</w:t>
      </w:r>
      <w:r>
        <w:rPr>
          <w:rFonts w:hint="eastAsia" w:ascii="仿宋" w:hAnsi="仿宋" w:eastAsia="仿宋" w:cs="仿宋"/>
          <w:color w:val="231F20"/>
          <w:spacing w:val="-1"/>
          <w:sz w:val="28"/>
          <w:szCs w:val="28"/>
          <w:highlight w:val="none"/>
          <w:lang w:val="en-US" w:eastAsia="zh-CN"/>
        </w:rPr>
        <w:t>讨论会以及配合</w:t>
      </w:r>
      <w:r>
        <w:rPr>
          <w:rFonts w:hint="eastAsia" w:ascii="仿宋" w:hAnsi="仿宋" w:eastAsia="仿宋" w:cs="仿宋"/>
          <w:color w:val="231F20"/>
          <w:spacing w:val="-1"/>
          <w:sz w:val="28"/>
          <w:szCs w:val="28"/>
          <w:highlight w:val="none"/>
          <w:lang w:val="zh-CN"/>
        </w:rPr>
        <w:t>行政监督部门备案（</w:t>
      </w:r>
      <w:r>
        <w:rPr>
          <w:rFonts w:hint="eastAsia" w:ascii="仿宋" w:hAnsi="仿宋" w:eastAsia="仿宋" w:cs="仿宋"/>
          <w:color w:val="231F20"/>
          <w:spacing w:val="-1"/>
          <w:sz w:val="28"/>
          <w:szCs w:val="28"/>
          <w:highlight w:val="none"/>
          <w:lang w:val="en-US" w:eastAsia="zh-CN"/>
        </w:rPr>
        <w:t>若有</w:t>
      </w:r>
      <w:r>
        <w:rPr>
          <w:rFonts w:hint="eastAsia" w:ascii="仿宋" w:hAnsi="仿宋" w:eastAsia="仿宋" w:cs="仿宋"/>
          <w:color w:val="231F20"/>
          <w:spacing w:val="-1"/>
          <w:sz w:val="28"/>
          <w:szCs w:val="28"/>
          <w:highlight w:val="none"/>
          <w:lang w:val="zh-CN"/>
        </w:rPr>
        <w:t>）；</w:t>
      </w:r>
    </w:p>
    <w:p w14:paraId="3B9C99F0">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③协助业主安排招标公告的发布；</w:t>
      </w:r>
    </w:p>
    <w:p w14:paraId="550B0806">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④按有关规定的时间组织招标报名，并对报名投标的单位资料进行审核；</w:t>
      </w:r>
    </w:p>
    <w:p w14:paraId="22E4C606">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⑤发售招标文件、技术资料、组织招标答疑会，整理答疑会经要，并向有关单位发放；</w:t>
      </w:r>
    </w:p>
    <w:p w14:paraId="28924C5C">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⑥按规定接受投标文件，组织开标、评标、定标活动；</w:t>
      </w:r>
    </w:p>
    <w:p w14:paraId="2CC7F943">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⑦协助委托人处理在项目招标期间的争议转诉；</w:t>
      </w:r>
    </w:p>
    <w:p w14:paraId="1383DB57">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en-US" w:eastAsia="zh-CN"/>
        </w:rPr>
      </w:pPr>
      <w:r>
        <w:rPr>
          <w:rFonts w:hint="eastAsia" w:ascii="仿宋" w:hAnsi="仿宋" w:eastAsia="仿宋" w:cs="仿宋"/>
          <w:color w:val="231F20"/>
          <w:spacing w:val="-1"/>
          <w:sz w:val="28"/>
          <w:szCs w:val="28"/>
          <w:highlight w:val="none"/>
          <w:lang w:val="zh-CN"/>
        </w:rPr>
        <w:t>⑧发出中标通知书。</w:t>
      </w:r>
    </w:p>
    <w:p w14:paraId="4A85BEF9">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en-US" w:eastAsia="zh-CN"/>
        </w:rPr>
      </w:pPr>
      <w:r>
        <w:rPr>
          <w:rFonts w:hint="eastAsia" w:ascii="仿宋" w:hAnsi="仿宋" w:eastAsia="仿宋" w:cs="仿宋"/>
          <w:color w:val="231F20"/>
          <w:spacing w:val="-1"/>
          <w:sz w:val="28"/>
          <w:szCs w:val="28"/>
          <w:highlight w:val="none"/>
          <w:lang w:val="en-US" w:eastAsia="zh-CN"/>
        </w:rPr>
        <w:t>⑨自收到委托方确认的招标资料后，在</w:t>
      </w:r>
      <w:r>
        <w:rPr>
          <w:rFonts w:hint="eastAsia" w:ascii="仿宋" w:hAnsi="仿宋" w:eastAsia="仿宋" w:cs="仿宋"/>
          <w:color w:val="231F20"/>
          <w:spacing w:val="-1"/>
          <w:sz w:val="28"/>
          <w:szCs w:val="28"/>
          <w:highlight w:val="none"/>
          <w:u w:val="single"/>
          <w:lang w:val="en-US" w:eastAsia="zh-CN"/>
        </w:rPr>
        <w:t xml:space="preserve">   </w:t>
      </w:r>
      <w:r>
        <w:rPr>
          <w:rFonts w:hint="eastAsia" w:ascii="仿宋" w:hAnsi="仿宋" w:eastAsia="仿宋" w:cs="仿宋"/>
          <w:color w:val="231F20"/>
          <w:spacing w:val="-1"/>
          <w:sz w:val="28"/>
          <w:szCs w:val="28"/>
          <w:highlight w:val="none"/>
          <w:lang w:val="en-US" w:eastAsia="zh-CN"/>
        </w:rPr>
        <w:t>个日历天内确定施工中标单位。</w:t>
      </w:r>
    </w:p>
    <w:p w14:paraId="1650CEEA">
      <w:pPr>
        <w:widowControl w:val="0"/>
        <w:numPr>
          <w:ilvl w:val="0"/>
          <w:numId w:val="6"/>
        </w:numPr>
        <w:autoSpaceDE w:val="0"/>
        <w:autoSpaceDN w:val="0"/>
        <w:spacing w:line="360" w:lineRule="auto"/>
        <w:ind w:firstLine="556" w:firstLineChars="200"/>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为招</w:t>
      </w:r>
      <w:r>
        <w:rPr>
          <w:rFonts w:hint="eastAsia" w:ascii="仿宋" w:hAnsi="仿宋" w:eastAsia="仿宋" w:cs="仿宋"/>
          <w:color w:val="231F20"/>
          <w:sz w:val="28"/>
          <w:szCs w:val="28"/>
          <w:highlight w:val="none"/>
        </w:rPr>
        <w:t>标人提供的为完成招标工作的相关咨询服务</w:t>
      </w:r>
      <w:r>
        <w:rPr>
          <w:rFonts w:hint="eastAsia" w:ascii="仿宋" w:hAnsi="仿宋" w:eastAsia="仿宋" w:cs="仿宋"/>
          <w:color w:val="231F20"/>
          <w:sz w:val="28"/>
          <w:szCs w:val="28"/>
          <w:highlight w:val="none"/>
          <w:u w:val="none" w:color="auto"/>
        </w:rPr>
        <w:t>：</w:t>
      </w:r>
      <w:r>
        <w:rPr>
          <w:rFonts w:hint="eastAsia" w:ascii="仿宋" w:hAnsi="仿宋" w:eastAsia="仿宋" w:cs="仿宋"/>
          <w:szCs w:val="30"/>
          <w:highlight w:val="none"/>
          <w:u w:val="single"/>
          <w:lang w:val="zh-CN"/>
        </w:rPr>
        <w:t xml:space="preserve"> </w:t>
      </w:r>
      <w:r>
        <w:rPr>
          <w:rFonts w:hint="eastAsia" w:ascii="仿宋" w:hAnsi="仿宋" w:eastAsia="仿宋" w:cs="仿宋"/>
          <w:color w:val="231F20"/>
          <w:sz w:val="28"/>
          <w:szCs w:val="28"/>
          <w:highlight w:val="none"/>
          <w:u w:val="single" w:color="auto"/>
          <w:lang w:val="zh-CN" w:eastAsia="zh-CN" w:bidi="ar-SA"/>
        </w:rPr>
        <w:t>按实际需</w:t>
      </w:r>
      <w:r>
        <w:rPr>
          <w:rFonts w:hint="eastAsia" w:ascii="仿宋" w:hAnsi="仿宋" w:eastAsia="仿宋" w:cs="仿宋"/>
          <w:color w:val="231F20"/>
          <w:sz w:val="28"/>
          <w:szCs w:val="28"/>
          <w:highlight w:val="none"/>
          <w:u w:val="single" w:color="auto"/>
          <w:lang w:val="en-US" w:eastAsia="zh-CN" w:bidi="ar-SA"/>
        </w:rPr>
        <w:t>要</w:t>
      </w:r>
      <w:r>
        <w:rPr>
          <w:rFonts w:hint="eastAsia" w:ascii="仿宋" w:hAnsi="仿宋" w:eastAsia="仿宋" w:cs="仿宋"/>
          <w:color w:val="231F20"/>
          <w:sz w:val="28"/>
          <w:szCs w:val="28"/>
          <w:highlight w:val="none"/>
          <w:u w:val="none" w:color="auto"/>
          <w:lang w:val="en-US" w:eastAsia="zh-CN" w:bidi="ar-SA"/>
        </w:rPr>
        <w:t>；</w:t>
      </w:r>
    </w:p>
    <w:p w14:paraId="56AB9AF7">
      <w:pPr>
        <w:widowControl w:val="0"/>
        <w:numPr>
          <w:ilvl w:val="0"/>
          <w:numId w:val="6"/>
        </w:numPr>
        <w:autoSpaceDE w:val="0"/>
        <w:autoSpaceDN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承担招标代理业务过程中，应由</w:t>
      </w:r>
      <w:r>
        <w:rPr>
          <w:rFonts w:hint="eastAsia" w:ascii="仿宋" w:hAnsi="仿宋" w:eastAsia="仿宋" w:cs="仿宋"/>
          <w:color w:val="231F20"/>
          <w:sz w:val="28"/>
          <w:szCs w:val="28"/>
          <w:highlight w:val="none"/>
          <w:lang w:val="en-US" w:eastAsia="zh-CN"/>
        </w:rPr>
        <w:t>招标代理单位</w:t>
      </w:r>
      <w:r>
        <w:rPr>
          <w:rFonts w:hint="eastAsia" w:ascii="仿宋" w:hAnsi="仿宋" w:eastAsia="仿宋" w:cs="仿宋"/>
          <w:color w:val="231F20"/>
          <w:sz w:val="28"/>
          <w:szCs w:val="28"/>
          <w:highlight w:val="none"/>
        </w:rPr>
        <w:t>支付的费用</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zh-CN" w:eastAsia="zh-CN" w:bidi="ar-SA"/>
        </w:rPr>
        <w:t>按通用合同条款8.3，在招标代理业务范围内所发生的费用（如：评标会务费、评标专家的差旅费、劳务费、公证费等）</w:t>
      </w:r>
      <w:r>
        <w:rPr>
          <w:rFonts w:hint="eastAsia" w:ascii="仿宋" w:hAnsi="仿宋" w:eastAsia="仿宋" w:cs="仿宋"/>
          <w:color w:val="231F20"/>
          <w:sz w:val="28"/>
          <w:szCs w:val="28"/>
          <w:highlight w:val="none"/>
          <w:u w:val="none" w:color="auto"/>
        </w:rPr>
        <w:t>；</w:t>
      </w:r>
    </w:p>
    <w:p w14:paraId="54690327">
      <w:pPr>
        <w:widowControl w:val="0"/>
        <w:numPr>
          <w:ilvl w:val="0"/>
          <w:numId w:val="6"/>
        </w:numPr>
        <w:autoSpaceDE w:val="0"/>
        <w:autoSpaceDN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color w:val="231F20"/>
          <w:sz w:val="28"/>
          <w:szCs w:val="28"/>
          <w:highlight w:val="none"/>
        </w:rPr>
        <w:t>应尽的其他义务</w:t>
      </w:r>
      <w:r>
        <w:rPr>
          <w:rFonts w:hint="eastAsia" w:ascii="仿宋" w:hAnsi="仿宋" w:eastAsia="仿宋" w:cs="仿宋"/>
          <w:color w:val="231F20"/>
          <w:sz w:val="28"/>
          <w:szCs w:val="28"/>
          <w:highlight w:val="none"/>
          <w:u w:val="none" w:color="auto"/>
        </w:rPr>
        <w:t>：</w:t>
      </w:r>
      <w:r>
        <w:rPr>
          <w:rFonts w:hint="eastAsia" w:ascii="仿宋" w:hAnsi="仿宋" w:eastAsia="仿宋" w:cs="仿宋"/>
          <w:szCs w:val="30"/>
          <w:highlight w:val="none"/>
          <w:u w:val="none" w:color="auto"/>
        </w:rPr>
        <w:t xml:space="preserve"> </w:t>
      </w:r>
      <w:r>
        <w:rPr>
          <w:rFonts w:hint="eastAsia" w:ascii="仿宋" w:hAnsi="仿宋" w:eastAsia="仿宋" w:cs="仿宋"/>
          <w:color w:val="231F20"/>
          <w:sz w:val="28"/>
          <w:szCs w:val="28"/>
          <w:highlight w:val="none"/>
          <w:u w:val="single" w:color="auto"/>
          <w:lang w:val="zh-CN" w:eastAsia="zh-CN" w:bidi="ar-SA"/>
        </w:rPr>
        <w:t>如项目流标，则不另外收取费用，报相关部门批准后，重新进行招标</w:t>
      </w:r>
      <w:r>
        <w:rPr>
          <w:rFonts w:hint="eastAsia" w:ascii="仿宋" w:hAnsi="仿宋" w:eastAsia="仿宋" w:cs="仿宋"/>
          <w:color w:val="231F20"/>
          <w:sz w:val="28"/>
          <w:szCs w:val="28"/>
          <w:highlight w:val="none"/>
          <w:u w:val="none" w:color="auto"/>
        </w:rPr>
        <w:tab/>
      </w:r>
      <w:r>
        <w:rPr>
          <w:rFonts w:hint="eastAsia" w:ascii="仿宋" w:hAnsi="仿宋" w:eastAsia="仿宋" w:cs="仿宋"/>
          <w:color w:val="231F20"/>
          <w:sz w:val="28"/>
          <w:szCs w:val="28"/>
          <w:highlight w:val="none"/>
          <w:u w:val="none" w:color="auto"/>
          <w:lang w:eastAsia="zh-CN"/>
        </w:rPr>
        <w:t>；</w:t>
      </w:r>
    </w:p>
    <w:p w14:paraId="66A26BFD">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委托人的权利</w:t>
      </w:r>
    </w:p>
    <w:p w14:paraId="001696BC">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委托人拥有的权利：</w:t>
      </w:r>
      <w:r>
        <w:rPr>
          <w:rFonts w:hint="eastAsia" w:ascii="仿宋" w:hAnsi="仿宋" w:eastAsia="仿宋" w:cs="仿宋"/>
          <w:color w:val="231F20"/>
          <w:sz w:val="28"/>
          <w:szCs w:val="28"/>
          <w:highlight w:val="none"/>
          <w:u w:val="single" w:color="auto"/>
          <w:lang w:val="zh-CN" w:eastAsia="zh-CN" w:bidi="ar-SA"/>
        </w:rPr>
        <w:t>按通用条款的相应条款执行</w:t>
      </w:r>
      <w:r>
        <w:rPr>
          <w:rFonts w:hint="eastAsia" w:ascii="仿宋" w:hAnsi="仿宋" w:eastAsia="仿宋" w:cs="仿宋"/>
          <w:color w:val="231F20"/>
          <w:sz w:val="28"/>
          <w:szCs w:val="28"/>
          <w:highlight w:val="none"/>
          <w:u w:val="none" w:color="auto"/>
          <w:lang w:val="zh-CN" w:eastAsia="zh-CN" w:bidi="ar-SA"/>
        </w:rPr>
        <w:t>。</w:t>
      </w:r>
    </w:p>
    <w:p w14:paraId="618BE46A">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委托人拥有的其他权利</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231F20"/>
          <w:lang w:val="en-US" w:eastAsia="zh-CN"/>
        </w:rPr>
        <w:t>/</w:t>
      </w:r>
      <w:r>
        <w:rPr>
          <w:rFonts w:hint="eastAsia" w:ascii="仿宋" w:hAnsi="仿宋" w:eastAsia="仿宋" w:cs="仿宋"/>
          <w:color w:val="231F20"/>
          <w:sz w:val="28"/>
          <w:szCs w:val="28"/>
          <w:highlight w:val="none"/>
          <w:u w:val="single" w:color="231F20"/>
        </w:rPr>
        <w:tab/>
      </w:r>
      <w:r>
        <w:rPr>
          <w:rFonts w:hint="eastAsia" w:ascii="仿宋" w:hAnsi="仿宋" w:eastAsia="仿宋" w:cs="仿宋"/>
          <w:color w:val="231F20"/>
          <w:sz w:val="28"/>
          <w:szCs w:val="28"/>
          <w:highlight w:val="none"/>
          <w:u w:val="none" w:color="auto"/>
          <w:lang w:eastAsia="zh-CN"/>
        </w:rPr>
        <w:t>。</w:t>
      </w:r>
    </w:p>
    <w:p w14:paraId="241CDC0E">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受托人的权利</w:t>
      </w:r>
    </w:p>
    <w:p w14:paraId="29D35682">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受托人拥有的权利：</w:t>
      </w:r>
      <w:r>
        <w:rPr>
          <w:rFonts w:hint="eastAsia" w:ascii="仿宋" w:hAnsi="仿宋" w:eastAsia="仿宋" w:cs="仿宋"/>
          <w:color w:val="231F20"/>
          <w:sz w:val="28"/>
          <w:szCs w:val="28"/>
          <w:highlight w:val="none"/>
          <w:u w:val="single" w:color="auto"/>
          <w:lang w:val="zh-CN" w:eastAsia="zh-CN" w:bidi="ar-SA"/>
        </w:rPr>
        <w:t>按通用条款的相应条款执行</w:t>
      </w:r>
      <w:r>
        <w:rPr>
          <w:rFonts w:hint="eastAsia" w:ascii="仿宋" w:hAnsi="仿宋" w:eastAsia="仿宋" w:cs="仿宋"/>
          <w:color w:val="231F20"/>
          <w:sz w:val="28"/>
          <w:szCs w:val="28"/>
          <w:highlight w:val="none"/>
          <w:u w:val="none" w:color="auto"/>
          <w:lang w:val="zh-CN" w:eastAsia="zh-CN" w:bidi="ar-SA"/>
        </w:rPr>
        <w:t>。</w:t>
      </w:r>
    </w:p>
    <w:p w14:paraId="31FAD67E">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受托人拥有的其他权利</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231F20"/>
          <w:lang w:val="en-US" w:eastAsia="zh-CN"/>
        </w:rPr>
        <w:t>/</w:t>
      </w:r>
      <w:r>
        <w:rPr>
          <w:rFonts w:hint="eastAsia" w:ascii="仿宋" w:hAnsi="仿宋" w:eastAsia="仿宋" w:cs="仿宋"/>
          <w:color w:val="231F20"/>
          <w:sz w:val="28"/>
          <w:szCs w:val="28"/>
          <w:highlight w:val="none"/>
          <w:u w:val="single" w:color="231F20"/>
        </w:rPr>
        <w:tab/>
      </w:r>
      <w:r>
        <w:rPr>
          <w:rFonts w:hint="eastAsia" w:ascii="仿宋" w:hAnsi="仿宋" w:eastAsia="仿宋" w:cs="仿宋"/>
          <w:color w:val="231F20"/>
          <w:sz w:val="28"/>
          <w:szCs w:val="28"/>
          <w:highlight w:val="none"/>
          <w:u w:val="none" w:color="auto"/>
          <w:lang w:eastAsia="zh-CN"/>
        </w:rPr>
        <w:t>。</w:t>
      </w:r>
    </w:p>
    <w:p w14:paraId="6604D2B3">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三、委托代理报酬与收取</w:t>
      </w:r>
    </w:p>
    <w:p w14:paraId="145CF905">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w:t>
      </w:r>
    </w:p>
    <w:p w14:paraId="2D97114D">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代理报酬的计算方法：</w:t>
      </w:r>
      <w:r>
        <w:rPr>
          <w:rFonts w:hint="eastAsia" w:ascii="仿宋" w:hAnsi="仿宋" w:eastAsia="仿宋" w:cs="仿宋"/>
          <w:color w:val="231F20"/>
          <w:sz w:val="28"/>
          <w:szCs w:val="28"/>
          <w:highlight w:val="none"/>
          <w:u w:val="single"/>
          <w:lang w:val="en-US" w:eastAsia="zh-CN"/>
        </w:rPr>
        <w:t>以协议书条款为准</w:t>
      </w:r>
      <w:r>
        <w:rPr>
          <w:rFonts w:hint="eastAsia" w:ascii="仿宋" w:hAnsi="仿宋" w:eastAsia="仿宋" w:cs="仿宋"/>
          <w:color w:val="231F20"/>
          <w:sz w:val="28"/>
          <w:szCs w:val="28"/>
          <w:highlight w:val="none"/>
        </w:rPr>
        <w:t>；</w:t>
      </w:r>
    </w:p>
    <w:p w14:paraId="3103722C">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left"/>
        <w:textAlignment w:val="auto"/>
        <w:rPr>
          <w:rFonts w:hint="eastAsia" w:ascii="仿宋" w:hAnsi="仿宋" w:eastAsia="仿宋" w:cs="仿宋"/>
          <w:color w:val="231F20"/>
          <w:sz w:val="28"/>
          <w:szCs w:val="28"/>
          <w:highlight w:val="none"/>
          <w:u w:val="none" w:color="auto"/>
        </w:rPr>
      </w:pPr>
      <w:r>
        <w:rPr>
          <w:rFonts w:hint="eastAsia" w:ascii="仿宋" w:hAnsi="仿宋" w:eastAsia="仿宋" w:cs="仿宋"/>
          <w:color w:val="231F20"/>
          <w:sz w:val="28"/>
          <w:szCs w:val="28"/>
          <w:highlight w:val="none"/>
        </w:rPr>
        <w:t>代理报酬的金额</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rPr>
        <w:tab/>
      </w:r>
      <w:r>
        <w:rPr>
          <w:rFonts w:hint="eastAsia" w:ascii="仿宋" w:hAnsi="仿宋" w:eastAsia="仿宋" w:cs="仿宋"/>
          <w:color w:val="231F20"/>
          <w:sz w:val="28"/>
          <w:szCs w:val="28"/>
          <w:highlight w:val="none"/>
          <w:u w:val="single" w:color="231F20"/>
          <w:lang w:val="en-US" w:eastAsia="zh-CN"/>
        </w:rPr>
        <w:t xml:space="preserve"> </w:t>
      </w:r>
      <w:r>
        <w:rPr>
          <w:rFonts w:hint="eastAsia" w:ascii="仿宋" w:hAnsi="仿宋" w:eastAsia="仿宋" w:cs="仿宋"/>
          <w:color w:val="231F20"/>
          <w:sz w:val="28"/>
          <w:szCs w:val="28"/>
          <w:highlight w:val="none"/>
          <w:u w:val="single"/>
          <w:lang w:val="en-US" w:eastAsia="zh-CN"/>
        </w:rPr>
        <w:t>人民币     元（大写：       ）</w:t>
      </w:r>
      <w:r>
        <w:rPr>
          <w:rFonts w:hint="eastAsia" w:ascii="仿宋" w:hAnsi="仿宋" w:eastAsia="仿宋" w:cs="仿宋"/>
          <w:color w:val="231F20"/>
          <w:sz w:val="28"/>
          <w:szCs w:val="28"/>
          <w:highlight w:val="none"/>
          <w:u w:val="none" w:color="auto"/>
        </w:rPr>
        <w:t>；</w:t>
      </w:r>
    </w:p>
    <w:p w14:paraId="3937FE12">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委托代理报酬的收取</w:t>
      </w:r>
    </w:p>
    <w:p w14:paraId="2EDEC002">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预计委托代理费用额度（比例</w:t>
      </w:r>
      <w:r>
        <w:rPr>
          <w:rFonts w:hint="eastAsia" w:ascii="仿宋" w:hAnsi="仿宋" w:eastAsia="仿宋" w:cs="仿宋"/>
          <w:color w:val="231F20"/>
          <w:spacing w:val="-28"/>
          <w:sz w:val="28"/>
          <w:szCs w:val="28"/>
          <w:highlight w:val="none"/>
        </w:rPr>
        <w:t>）：</w:t>
      </w:r>
      <w:r>
        <w:rPr>
          <w:rFonts w:hint="eastAsia" w:ascii="仿宋" w:hAnsi="仿宋" w:eastAsia="仿宋" w:cs="仿宋"/>
          <w:color w:val="231F20"/>
          <w:spacing w:val="-28"/>
          <w:sz w:val="28"/>
          <w:szCs w:val="28"/>
          <w:highlight w:val="none"/>
          <w:u w:val="single"/>
          <w:lang w:val="en-US" w:eastAsia="zh-CN"/>
        </w:rPr>
        <w:t xml:space="preserve">     /     </w:t>
      </w:r>
      <w:r>
        <w:rPr>
          <w:rFonts w:hint="eastAsia" w:ascii="仿宋" w:hAnsi="仿宋" w:eastAsia="仿宋" w:cs="仿宋"/>
          <w:color w:val="231F20"/>
          <w:sz w:val="28"/>
          <w:szCs w:val="28"/>
          <w:highlight w:val="none"/>
          <w:u w:val="none" w:color="auto"/>
        </w:rPr>
        <w:t>。</w:t>
      </w:r>
    </w:p>
    <w:p w14:paraId="650A4AC1">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逾期支付时，银行贷款利率</w:t>
      </w:r>
      <w:r>
        <w:rPr>
          <w:rFonts w:hint="eastAsia" w:ascii="仿宋" w:hAnsi="仿宋" w:eastAsia="仿宋" w:cs="仿宋"/>
          <w:color w:val="231F20"/>
          <w:spacing w:val="-28"/>
          <w:sz w:val="28"/>
          <w:szCs w:val="28"/>
          <w:highlight w:val="none"/>
        </w:rPr>
        <w:t>：</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z w:val="28"/>
          <w:szCs w:val="28"/>
          <w:highlight w:val="none"/>
          <w:u w:val="single"/>
          <w:lang w:val="zh-CN" w:eastAsia="zh-CN" w:bidi="ar-SA"/>
        </w:rPr>
        <w:t>按通用条款</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none" w:color="auto"/>
        </w:rPr>
        <w:t>。</w:t>
      </w:r>
    </w:p>
    <w:p w14:paraId="6D516B00">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u w:val="none" w:color="auto"/>
          <w:lang w:val="en-US" w:eastAsia="zh-CN"/>
        </w:rPr>
      </w:pPr>
      <w:r>
        <w:rPr>
          <w:rFonts w:hint="eastAsia" w:ascii="仿宋" w:hAnsi="仿宋" w:eastAsia="仿宋" w:cs="仿宋"/>
          <w:color w:val="231F20"/>
          <w:sz w:val="28"/>
          <w:szCs w:val="28"/>
          <w:highlight w:val="none"/>
        </w:rPr>
        <w:t>逾期支付时，应收取的利息</w:t>
      </w:r>
      <w:r>
        <w:rPr>
          <w:rFonts w:hint="eastAsia" w:ascii="仿宋" w:hAnsi="仿宋" w:eastAsia="仿宋" w:cs="仿宋"/>
          <w:color w:val="231F20"/>
          <w:spacing w:val="-28"/>
          <w:sz w:val="28"/>
          <w:szCs w:val="28"/>
          <w:highlight w:val="none"/>
        </w:rPr>
        <w:t>：</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z w:val="28"/>
          <w:szCs w:val="28"/>
          <w:highlight w:val="none"/>
          <w:u w:val="single"/>
          <w:lang w:val="zh-CN" w:eastAsia="zh-CN" w:bidi="ar-SA"/>
        </w:rPr>
        <w:t>按通用条款</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none" w:color="auto"/>
        </w:rPr>
        <w:t>。</w:t>
      </w:r>
    </w:p>
    <w:p w14:paraId="055F8290">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u w:val="none" w:color="auto"/>
        </w:rPr>
      </w:pPr>
      <w:r>
        <w:rPr>
          <w:rFonts w:hint="eastAsia" w:ascii="仿宋" w:hAnsi="仿宋" w:eastAsia="仿宋" w:cs="仿宋"/>
          <w:color w:val="231F20"/>
          <w:sz w:val="28"/>
          <w:szCs w:val="28"/>
          <w:highlight w:val="none"/>
        </w:rPr>
        <w:t>代理报酬的币种</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231F20"/>
          <w:lang w:val="en-US" w:eastAsia="zh-CN"/>
        </w:rPr>
        <w:t xml:space="preserve">人民币  </w:t>
      </w:r>
      <w:r>
        <w:rPr>
          <w:rFonts w:hint="eastAsia" w:ascii="仿宋" w:hAnsi="仿宋" w:eastAsia="仿宋" w:cs="仿宋"/>
          <w:color w:val="231F20"/>
          <w:sz w:val="28"/>
          <w:szCs w:val="28"/>
          <w:highlight w:val="none"/>
          <w:u w:val="none" w:color="auto"/>
          <w:lang w:val="en-US" w:eastAsia="zh-CN"/>
        </w:rPr>
        <w:t>；</w:t>
      </w:r>
    </w:p>
    <w:p w14:paraId="02794A4A">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汇率</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 xml:space="preserve">    /  </w:t>
      </w:r>
      <w:r>
        <w:rPr>
          <w:rFonts w:hint="eastAsia" w:ascii="仿宋" w:hAnsi="仿宋" w:eastAsia="仿宋" w:cs="仿宋"/>
          <w:color w:val="231F20"/>
          <w:sz w:val="28"/>
          <w:szCs w:val="28"/>
          <w:highlight w:val="none"/>
          <w:u w:val="none" w:color="auto"/>
        </w:rPr>
        <w:t xml:space="preserve">； </w:t>
      </w:r>
    </w:p>
    <w:p w14:paraId="3E421FCE">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代理报酬的支付方式：</w:t>
      </w:r>
      <w:r>
        <w:rPr>
          <w:rFonts w:hint="eastAsia" w:ascii="仿宋" w:hAnsi="仿宋" w:eastAsia="仿宋" w:cs="仿宋"/>
          <w:color w:val="231F20"/>
          <w:sz w:val="28"/>
          <w:szCs w:val="28"/>
          <w:highlight w:val="none"/>
          <w:u w:val="single"/>
        </w:rPr>
        <w:tab/>
      </w:r>
      <w:r>
        <w:rPr>
          <w:rFonts w:hint="eastAsia" w:ascii="仿宋" w:hAnsi="仿宋" w:eastAsia="仿宋" w:cs="仿宋"/>
          <w:color w:val="231F20"/>
          <w:sz w:val="28"/>
          <w:szCs w:val="28"/>
          <w:highlight w:val="none"/>
          <w:u w:val="single"/>
          <w:lang w:val="en-US" w:eastAsia="zh-CN"/>
        </w:rPr>
        <w:t>银行转账</w:t>
      </w:r>
      <w:r>
        <w:rPr>
          <w:rFonts w:hint="eastAsia" w:ascii="仿宋" w:hAnsi="仿宋" w:eastAsia="仿宋" w:cs="仿宋"/>
          <w:color w:val="231F20"/>
          <w:sz w:val="28"/>
          <w:szCs w:val="28"/>
          <w:highlight w:val="none"/>
          <w:u w:val="single"/>
        </w:rPr>
        <w:tab/>
      </w:r>
      <w:r>
        <w:rPr>
          <w:rFonts w:hint="eastAsia" w:ascii="仿宋" w:hAnsi="仿宋" w:eastAsia="仿宋" w:cs="仿宋"/>
          <w:color w:val="231F20"/>
          <w:sz w:val="28"/>
          <w:szCs w:val="28"/>
          <w:highlight w:val="none"/>
        </w:rPr>
        <w:t>；</w:t>
      </w:r>
    </w:p>
    <w:p w14:paraId="3E637BD7">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代理报酬的支付时间：</w:t>
      </w:r>
      <w:r>
        <w:rPr>
          <w:rFonts w:hint="eastAsia" w:ascii="仿宋" w:hAnsi="仿宋" w:eastAsia="仿宋" w:cs="仿宋"/>
          <w:color w:val="231F20"/>
          <w:sz w:val="28"/>
          <w:szCs w:val="28"/>
          <w:highlight w:val="none"/>
          <w:u w:val="single"/>
          <w:lang w:val="zh-CN" w:eastAsia="zh-CN" w:bidi="ar-SA"/>
        </w:rPr>
        <w:t>在受托人向中标人发出中标通知书后由中标人一次性支付代理费用</w:t>
      </w:r>
      <w:r>
        <w:rPr>
          <w:rFonts w:hint="eastAsia" w:ascii="仿宋" w:hAnsi="仿宋" w:eastAsia="仿宋" w:cs="仿宋"/>
          <w:color w:val="231F20"/>
          <w:sz w:val="28"/>
          <w:szCs w:val="28"/>
          <w:highlight w:val="none"/>
          <w:u w:val="none"/>
          <w:lang w:val="zh-CN" w:eastAsia="zh-CN" w:bidi="ar-SA"/>
        </w:rPr>
        <w:t>；</w:t>
      </w:r>
    </w:p>
    <w:p w14:paraId="212C4468">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四、违约、索赔和争议</w:t>
      </w:r>
    </w:p>
    <w:p w14:paraId="4F7AE684">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违约</w:t>
      </w:r>
    </w:p>
    <w:p w14:paraId="5722C0CC">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本合同关于委托人违约的具体责任：</w:t>
      </w:r>
    </w:p>
    <w:p w14:paraId="0115951C">
      <w:pPr>
        <w:pStyle w:val="6"/>
        <w:keepNext w:val="0"/>
        <w:keepLines w:val="0"/>
        <w:pageBreakBefore w:val="0"/>
        <w:widowControl w:val="0"/>
        <w:numPr>
          <w:ilvl w:val="0"/>
          <w:numId w:val="7"/>
        </w:numPr>
        <w:tabs>
          <w:tab w:val="left" w:pos="9188"/>
        </w:tabs>
        <w:kinsoku/>
        <w:wordWrap/>
        <w:overflowPunct/>
        <w:topLinePunct w:val="0"/>
        <w:autoSpaceDE w:val="0"/>
        <w:autoSpaceDN w:val="0"/>
        <w:bidi w:val="0"/>
        <w:adjustRightInd/>
        <w:snapToGrid/>
        <w:spacing w:before="0" w:line="360" w:lineRule="auto"/>
        <w:ind w:right="213" w:firstLine="560" w:firstLineChars="200"/>
        <w:textAlignment w:val="auto"/>
        <w:rPr>
          <w:rFonts w:hint="eastAsia" w:ascii="仿宋" w:hAnsi="仿宋" w:eastAsia="仿宋" w:cs="仿宋"/>
          <w:color w:val="231F20"/>
          <w:sz w:val="28"/>
          <w:szCs w:val="28"/>
          <w:highlight w:val="none"/>
          <w:u w:val="none" w:color="auto"/>
          <w:lang w:val="en-US" w:eastAsia="zh-CN"/>
        </w:rPr>
      </w:pPr>
      <w:r>
        <w:rPr>
          <w:rFonts w:hint="eastAsia" w:ascii="仿宋" w:hAnsi="仿宋" w:eastAsia="仿宋" w:cs="仿宋"/>
          <w:color w:val="231F20"/>
          <w:sz w:val="28"/>
          <w:szCs w:val="28"/>
          <w:highlight w:val="none"/>
        </w:rPr>
        <w:t>委托人未按照本合同通用条款第4.2</w:t>
      </w:r>
      <w:r>
        <w:rPr>
          <w:rFonts w:hint="eastAsia" w:ascii="仿宋" w:hAnsi="仿宋" w:eastAsia="仿宋" w:cs="仿宋"/>
          <w:color w:val="231F20"/>
          <w:sz w:val="28"/>
          <w:szCs w:val="28"/>
          <w:highlight w:val="none"/>
          <w:lang w:val="en-US" w:eastAsia="zh-CN"/>
        </w:rPr>
        <w:t>-（3）</w:t>
      </w:r>
      <w:r>
        <w:rPr>
          <w:rFonts w:hint="eastAsia" w:ascii="仿宋" w:hAnsi="仿宋" w:eastAsia="仿宋" w:cs="仿宋"/>
          <w:color w:val="231F20"/>
          <w:sz w:val="28"/>
          <w:szCs w:val="28"/>
          <w:highlight w:val="none"/>
        </w:rPr>
        <w:t>款的约定，向受托人提供保证招标工作顺利完成的条件应承担的违约责任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lang w:val="en-US" w:eastAsia="zh-CN"/>
        </w:rPr>
        <w:t>；</w:t>
      </w:r>
    </w:p>
    <w:p w14:paraId="09DE2912">
      <w:pPr>
        <w:pStyle w:val="6"/>
        <w:keepNext w:val="0"/>
        <w:keepLines w:val="0"/>
        <w:pageBreakBefore w:val="0"/>
        <w:widowControl w:val="0"/>
        <w:numPr>
          <w:ilvl w:val="0"/>
          <w:numId w:val="7"/>
        </w:numPr>
        <w:tabs>
          <w:tab w:val="left" w:pos="9188"/>
        </w:tabs>
        <w:kinsoku/>
        <w:wordWrap/>
        <w:overflowPunct/>
        <w:topLinePunct w:val="0"/>
        <w:autoSpaceDE w:val="0"/>
        <w:autoSpaceDN w:val="0"/>
        <w:bidi w:val="0"/>
        <w:adjustRightInd/>
        <w:snapToGrid/>
        <w:spacing w:before="0" w:line="360" w:lineRule="auto"/>
        <w:ind w:right="213"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委托人未按本合同通用条款第4.2-</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6</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款的约定，向受托人支付委托代理报酬应承担的违约责任</w:t>
      </w:r>
      <w:r>
        <w:rPr>
          <w:rFonts w:hint="eastAsia" w:ascii="仿宋" w:hAnsi="仿宋" w:eastAsia="仿宋" w:cs="仿宋"/>
          <w:color w:val="231F20"/>
          <w:sz w:val="28"/>
          <w:szCs w:val="28"/>
          <w:highlight w:val="none"/>
          <w:u w:val="none" w:color="auto"/>
          <w:lang w:eastAsia="zh-CN"/>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lang w:val="en-US" w:eastAsia="zh-CN"/>
        </w:rPr>
        <w:t>；</w:t>
      </w:r>
    </w:p>
    <w:p w14:paraId="2F11D754">
      <w:pPr>
        <w:pStyle w:val="6"/>
        <w:keepNext w:val="0"/>
        <w:keepLines w:val="0"/>
        <w:pageBreakBefore w:val="0"/>
        <w:widowControl w:val="0"/>
        <w:numPr>
          <w:ilvl w:val="0"/>
          <w:numId w:val="7"/>
        </w:numPr>
        <w:tabs>
          <w:tab w:val="left" w:pos="9188"/>
        </w:tabs>
        <w:kinsoku/>
        <w:wordWrap/>
        <w:overflowPunct/>
        <w:topLinePunct w:val="0"/>
        <w:autoSpaceDE w:val="0"/>
        <w:autoSpaceDN w:val="0"/>
        <w:bidi w:val="0"/>
        <w:adjustRightInd/>
        <w:snapToGrid/>
        <w:spacing w:before="0" w:line="360" w:lineRule="auto"/>
        <w:ind w:right="213"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双方约定的委托人的其他违约责任</w:t>
      </w:r>
      <w:r>
        <w:rPr>
          <w:rFonts w:hint="eastAsia" w:ascii="仿宋" w:hAnsi="仿宋" w:eastAsia="仿宋" w:cs="仿宋"/>
          <w:color w:val="231F20"/>
          <w:sz w:val="28"/>
          <w:szCs w:val="28"/>
          <w:highlight w:val="none"/>
          <w:u w:val="none" w:color="auto"/>
          <w:lang w:eastAsia="zh-CN"/>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b w:val="0"/>
          <w:bCs w:val="0"/>
          <w:color w:val="231F20"/>
          <w:sz w:val="28"/>
          <w:szCs w:val="28"/>
          <w:highlight w:val="none"/>
          <w:u w:val="none" w:color="auto"/>
          <w:lang w:val="en-US" w:eastAsia="zh-CN"/>
        </w:rPr>
        <w:t>；</w:t>
      </w:r>
    </w:p>
    <w:p w14:paraId="44007FC8">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本合同关于受托人违约的具体责任：</w:t>
      </w:r>
    </w:p>
    <w:p w14:paraId="6E23BDCE">
      <w:pPr>
        <w:pStyle w:val="13"/>
        <w:keepNext w:val="0"/>
        <w:keepLines w:val="0"/>
        <w:pageBreakBefore w:val="0"/>
        <w:widowControl w:val="0"/>
        <w:numPr>
          <w:ilvl w:val="0"/>
          <w:numId w:val="8"/>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left"/>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受托人未按照本合同通用条款第</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5.2</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款</w:t>
      </w:r>
      <w:r>
        <w:rPr>
          <w:rFonts w:hint="eastAsia" w:ascii="仿宋" w:hAnsi="仿宋" w:eastAsia="仿宋" w:cs="仿宋"/>
          <w:color w:val="231F20"/>
          <w:sz w:val="28"/>
          <w:szCs w:val="28"/>
          <w:highlight w:val="none"/>
          <w:lang w:val="en-US" w:eastAsia="zh-CN"/>
        </w:rPr>
        <w:t>以及专用条款第4.2款</w:t>
      </w:r>
      <w:r>
        <w:rPr>
          <w:rFonts w:hint="eastAsia" w:ascii="仿宋" w:hAnsi="仿宋" w:eastAsia="仿宋" w:cs="仿宋"/>
          <w:color w:val="231F20"/>
          <w:sz w:val="28"/>
          <w:szCs w:val="28"/>
          <w:highlight w:val="none"/>
        </w:rPr>
        <w:t>的约定，向委托人提供为完成招标工作的咨询服务应承担的责任</w:t>
      </w:r>
      <w:r>
        <w:rPr>
          <w:rFonts w:hint="eastAsia" w:ascii="仿宋" w:hAnsi="仿宋" w:eastAsia="仿宋" w:cs="仿宋"/>
          <w:color w:val="231F20"/>
          <w:sz w:val="28"/>
          <w:szCs w:val="28"/>
          <w:highlight w:val="none"/>
          <w:lang w:eastAsia="zh-CN"/>
        </w:rPr>
        <w:t>：</w:t>
      </w:r>
      <w:r>
        <w:rPr>
          <w:rFonts w:hint="eastAsia" w:ascii="仿宋" w:hAnsi="仿宋" w:eastAsia="仿宋" w:cs="仿宋"/>
          <w:color w:val="000000"/>
          <w:szCs w:val="30"/>
          <w:highlight w:val="none"/>
          <w:u w:val="single" w:color="000000"/>
          <w:lang w:val="zh-CN"/>
        </w:rPr>
        <w:t xml:space="preserve"> </w:t>
      </w:r>
      <w:r>
        <w:rPr>
          <w:rFonts w:hint="eastAsia" w:ascii="仿宋" w:hAnsi="仿宋" w:eastAsia="仿宋" w:cs="仿宋"/>
          <w:color w:val="231F20"/>
          <w:sz w:val="28"/>
          <w:szCs w:val="28"/>
          <w:highlight w:val="none"/>
          <w:u w:val="single" w:color="auto"/>
          <w:lang w:val="en-US" w:eastAsia="zh-CN" w:bidi="ar-SA"/>
        </w:rPr>
        <w:t>委托人有权终止合同</w:t>
      </w:r>
      <w:r>
        <w:rPr>
          <w:rFonts w:hint="eastAsia" w:ascii="仿宋" w:hAnsi="仿宋" w:eastAsia="仿宋" w:cs="仿宋"/>
          <w:color w:val="231F20"/>
          <w:sz w:val="28"/>
          <w:szCs w:val="28"/>
          <w:highlight w:val="none"/>
          <w:u w:val="single" w:color="auto"/>
          <w:lang w:val="zh-CN" w:eastAsia="zh-CN" w:bidi="ar-SA"/>
        </w:rPr>
        <w:t>，受托方退回已收取的代理费用，并向委托人赔偿</w:t>
      </w:r>
      <w:r>
        <w:rPr>
          <w:rFonts w:hint="eastAsia" w:ascii="仿宋" w:hAnsi="仿宋" w:eastAsia="仿宋" w:cs="仿宋"/>
          <w:color w:val="231F20"/>
          <w:sz w:val="28"/>
          <w:szCs w:val="28"/>
          <w:highlight w:val="none"/>
          <w:u w:val="single" w:color="auto"/>
          <w:lang w:val="en-US" w:eastAsia="zh-CN" w:bidi="ar-SA"/>
        </w:rPr>
        <w:t>合同额20%的</w:t>
      </w:r>
      <w:r>
        <w:rPr>
          <w:rFonts w:hint="eastAsia" w:ascii="仿宋" w:hAnsi="仿宋" w:eastAsia="仿宋" w:cs="仿宋"/>
          <w:color w:val="231F20"/>
          <w:sz w:val="28"/>
          <w:szCs w:val="28"/>
          <w:highlight w:val="none"/>
          <w:u w:val="single" w:color="auto"/>
          <w:lang w:val="zh-CN" w:eastAsia="zh-CN" w:bidi="ar-SA"/>
        </w:rPr>
        <w:t>违约金</w:t>
      </w:r>
      <w:r>
        <w:rPr>
          <w:rFonts w:hint="eastAsia" w:ascii="仿宋" w:hAnsi="仿宋" w:eastAsia="仿宋" w:cs="仿宋"/>
          <w:b w:val="0"/>
          <w:bCs w:val="0"/>
          <w:color w:val="231F20"/>
          <w:sz w:val="28"/>
          <w:szCs w:val="28"/>
          <w:highlight w:val="none"/>
          <w:u w:val="none" w:color="auto"/>
          <w:lang w:val="en-US" w:eastAsia="zh-CN" w:bidi="ar-SA"/>
        </w:rPr>
        <w:t>；</w:t>
      </w:r>
    </w:p>
    <w:p w14:paraId="038E840F">
      <w:pPr>
        <w:pStyle w:val="13"/>
        <w:keepNext w:val="0"/>
        <w:keepLines w:val="0"/>
        <w:pageBreakBefore w:val="0"/>
        <w:widowControl w:val="0"/>
        <w:numPr>
          <w:ilvl w:val="0"/>
          <w:numId w:val="8"/>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受托人违反本合同通用条款第</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5.4</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款的约定，接受了与本合同工程建设项目有关的投标咨询业务应承担的违约责任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auto"/>
          <w:lang w:val="en-US" w:eastAsia="zh-CN" w:bidi="ar-SA"/>
        </w:rPr>
        <w:t>委托人有权终止合同</w:t>
      </w:r>
      <w:r>
        <w:rPr>
          <w:rFonts w:hint="eastAsia" w:ascii="仿宋" w:hAnsi="仿宋" w:eastAsia="仿宋" w:cs="仿宋"/>
          <w:color w:val="231F20"/>
          <w:sz w:val="28"/>
          <w:szCs w:val="28"/>
          <w:highlight w:val="none"/>
          <w:u w:val="single" w:color="auto"/>
          <w:lang w:val="zh-CN" w:eastAsia="zh-CN" w:bidi="ar-SA"/>
        </w:rPr>
        <w:t>，受托方退回已收取的代理费用，并向委托人赔偿</w:t>
      </w:r>
      <w:r>
        <w:rPr>
          <w:rFonts w:hint="eastAsia" w:ascii="仿宋" w:hAnsi="仿宋" w:eastAsia="仿宋" w:cs="仿宋"/>
          <w:color w:val="231F20"/>
          <w:sz w:val="28"/>
          <w:szCs w:val="28"/>
          <w:highlight w:val="none"/>
          <w:u w:val="single" w:color="auto"/>
          <w:lang w:val="en-US" w:eastAsia="zh-CN" w:bidi="ar-SA"/>
        </w:rPr>
        <w:t>合同额20%的</w:t>
      </w:r>
      <w:r>
        <w:rPr>
          <w:rFonts w:hint="eastAsia" w:ascii="仿宋" w:hAnsi="仿宋" w:eastAsia="仿宋" w:cs="仿宋"/>
          <w:color w:val="231F20"/>
          <w:sz w:val="28"/>
          <w:szCs w:val="28"/>
          <w:highlight w:val="none"/>
          <w:u w:val="single" w:color="auto"/>
          <w:lang w:val="zh-CN" w:eastAsia="zh-CN" w:bidi="ar-SA"/>
        </w:rPr>
        <w:t>违约金</w:t>
      </w:r>
      <w:r>
        <w:rPr>
          <w:rFonts w:hint="eastAsia" w:ascii="仿宋" w:hAnsi="仿宋" w:eastAsia="仿宋" w:cs="仿宋"/>
          <w:color w:val="231F20"/>
          <w:sz w:val="28"/>
          <w:szCs w:val="28"/>
          <w:highlight w:val="none"/>
          <w:u w:val="none" w:color="auto"/>
          <w:lang w:val="zh-CN" w:eastAsia="zh-CN" w:bidi="ar-SA"/>
        </w:rPr>
        <w:t>；</w:t>
      </w:r>
    </w:p>
    <w:p w14:paraId="296049CB">
      <w:pPr>
        <w:pStyle w:val="13"/>
        <w:keepNext w:val="0"/>
        <w:keepLines w:val="0"/>
        <w:pageBreakBefore w:val="0"/>
        <w:widowControl w:val="0"/>
        <w:numPr>
          <w:ilvl w:val="0"/>
          <w:numId w:val="8"/>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受托人违反本合同通用条款第</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5.7</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款的约定，泄露了与本合同工程有关的任何不应泄露的招标资料和情况应承担的违约责任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bidi="ar-SA"/>
        </w:rPr>
        <w:t>委托人有权终止合同</w:t>
      </w:r>
      <w:r>
        <w:rPr>
          <w:rFonts w:hint="eastAsia" w:ascii="仿宋" w:hAnsi="仿宋" w:eastAsia="仿宋" w:cs="仿宋"/>
          <w:color w:val="231F20"/>
          <w:sz w:val="28"/>
          <w:szCs w:val="28"/>
          <w:highlight w:val="none"/>
          <w:u w:val="single" w:color="auto"/>
          <w:lang w:val="zh-CN" w:eastAsia="zh-CN" w:bidi="ar-SA"/>
        </w:rPr>
        <w:t>，受托方退回已收取的代理费用，并向委托人赔偿</w:t>
      </w:r>
      <w:r>
        <w:rPr>
          <w:rFonts w:hint="eastAsia" w:ascii="仿宋" w:hAnsi="仿宋" w:eastAsia="仿宋" w:cs="仿宋"/>
          <w:color w:val="231F20"/>
          <w:sz w:val="28"/>
          <w:szCs w:val="28"/>
          <w:highlight w:val="none"/>
          <w:u w:val="single" w:color="auto"/>
          <w:lang w:val="en-US" w:eastAsia="zh-CN" w:bidi="ar-SA"/>
        </w:rPr>
        <w:t>合同额20%的</w:t>
      </w:r>
      <w:r>
        <w:rPr>
          <w:rFonts w:hint="eastAsia" w:ascii="仿宋" w:hAnsi="仿宋" w:eastAsia="仿宋" w:cs="仿宋"/>
          <w:color w:val="231F20"/>
          <w:sz w:val="28"/>
          <w:szCs w:val="28"/>
          <w:highlight w:val="none"/>
          <w:u w:val="single" w:color="auto"/>
          <w:lang w:val="zh-CN" w:eastAsia="zh-CN" w:bidi="ar-SA"/>
        </w:rPr>
        <w:t>违约金</w:t>
      </w:r>
      <w:r>
        <w:rPr>
          <w:rFonts w:hint="eastAsia" w:ascii="仿宋" w:hAnsi="仿宋" w:eastAsia="仿宋" w:cs="仿宋"/>
          <w:color w:val="231F20"/>
          <w:sz w:val="28"/>
          <w:szCs w:val="28"/>
          <w:highlight w:val="none"/>
          <w:u w:val="none" w:color="auto"/>
          <w:lang w:val="zh-CN" w:eastAsia="zh-CN" w:bidi="ar-SA"/>
        </w:rPr>
        <w:t>；</w:t>
      </w:r>
    </w:p>
    <w:p w14:paraId="09D39C5E">
      <w:pPr>
        <w:pStyle w:val="13"/>
        <w:keepNext w:val="0"/>
        <w:keepLines w:val="0"/>
        <w:pageBreakBefore w:val="0"/>
        <w:widowControl w:val="0"/>
        <w:numPr>
          <w:ilvl w:val="0"/>
          <w:numId w:val="8"/>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双方约定的受托人的其他违约责任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zh-CN" w:eastAsia="zh-CN" w:bidi="ar-SA"/>
        </w:rPr>
        <w:t>受托人若违反本合同通用条款第5.2～5.7款,受托人除负责采取补救措施外,应免收受损失部分的报酬，损失严重的根据损失程度和受托人责任大小向委托人支付赔偿金赔偿损失，违约造成的损失超过代理费，应承担损害赔偿责任，构成犯罪的，依法移送司法机关，并承担法律规定的其他责任。</w:t>
      </w:r>
      <w:r>
        <w:rPr>
          <w:rFonts w:hint="eastAsia" w:ascii="仿宋" w:hAnsi="仿宋" w:eastAsia="仿宋" w:cs="仿宋"/>
          <w:color w:val="231F20"/>
          <w:sz w:val="28"/>
          <w:szCs w:val="28"/>
          <w:highlight w:val="none"/>
          <w:u w:val="single" w:color="auto"/>
          <w:lang w:val="zh-CN" w:eastAsia="zh-CN" w:bidi="ar-SA"/>
        </w:rPr>
        <w:tab/>
      </w:r>
      <w:r>
        <w:rPr>
          <w:rFonts w:hint="eastAsia" w:ascii="仿宋" w:hAnsi="仿宋" w:eastAsia="仿宋" w:cs="仿宋"/>
          <w:color w:val="231F20"/>
          <w:sz w:val="28"/>
          <w:szCs w:val="28"/>
          <w:highlight w:val="none"/>
          <w:u w:val="none" w:color="auto"/>
          <w:lang w:val="zh-CN" w:eastAsia="zh-CN" w:bidi="ar-SA"/>
        </w:rPr>
        <w:t>；</w:t>
      </w:r>
    </w:p>
    <w:p w14:paraId="2BD1E1F3">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lang w:val="zh-CN"/>
        </w:rPr>
        <w:t>由于考虑到工程的不确定因素，本合同自签定后一定时间内无法启动，委托人可视为不可抗拒因素无条件终止合同，受托人不能提出异议。</w:t>
      </w:r>
    </w:p>
    <w:p w14:paraId="6D41FC1B">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争议</w:t>
      </w:r>
    </w:p>
    <w:p w14:paraId="12C656BC">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pacing w:val="5"/>
          <w:sz w:val="28"/>
          <w:szCs w:val="28"/>
          <w:highlight w:val="none"/>
        </w:rPr>
        <w:t>双方约</w:t>
      </w:r>
      <w:r>
        <w:rPr>
          <w:rFonts w:hint="eastAsia" w:ascii="仿宋" w:hAnsi="仿宋" w:eastAsia="仿宋" w:cs="仿宋"/>
          <w:color w:val="231F20"/>
          <w:sz w:val="28"/>
          <w:szCs w:val="28"/>
          <w:highlight w:val="none"/>
        </w:rPr>
        <w:t>定</w:t>
      </w:r>
      <w:r>
        <w:rPr>
          <w:rFonts w:hint="eastAsia" w:ascii="仿宋" w:hAnsi="仿宋" w:eastAsia="仿宋" w:cs="仿宋"/>
          <w:color w:val="231F20"/>
          <w:spacing w:val="5"/>
          <w:sz w:val="28"/>
          <w:szCs w:val="28"/>
          <w:highlight w:val="none"/>
        </w:rPr>
        <w:t>，凡因执行本合同所发生的与本合同有关的一切争</w:t>
      </w:r>
      <w:r>
        <w:rPr>
          <w:rFonts w:hint="eastAsia" w:ascii="仿宋" w:hAnsi="仿宋" w:eastAsia="仿宋" w:cs="仿宋"/>
          <w:color w:val="231F20"/>
          <w:sz w:val="28"/>
          <w:szCs w:val="28"/>
          <w:highlight w:val="none"/>
        </w:rPr>
        <w:t>议</w:t>
      </w:r>
      <w:r>
        <w:rPr>
          <w:rFonts w:hint="eastAsia" w:ascii="仿宋" w:hAnsi="仿宋" w:eastAsia="仿宋" w:cs="仿宋"/>
          <w:color w:val="231F20"/>
          <w:spacing w:val="5"/>
          <w:sz w:val="28"/>
          <w:szCs w:val="28"/>
          <w:highlight w:val="none"/>
        </w:rPr>
        <w:t>，当和解或调解不成</w:t>
      </w:r>
      <w:r>
        <w:rPr>
          <w:rFonts w:hint="eastAsia" w:ascii="仿宋" w:hAnsi="仿宋" w:eastAsia="仿宋" w:cs="仿宋"/>
          <w:color w:val="231F20"/>
          <w:sz w:val="28"/>
          <w:szCs w:val="28"/>
          <w:highlight w:val="none"/>
        </w:rPr>
        <w:t>时，选择下列第</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（2）   </w:t>
      </w:r>
      <w:r>
        <w:rPr>
          <w:rFonts w:hint="eastAsia" w:ascii="仿宋" w:hAnsi="仿宋" w:eastAsia="仿宋" w:cs="仿宋"/>
          <w:color w:val="231F20"/>
          <w:sz w:val="28"/>
          <w:szCs w:val="28"/>
          <w:highlight w:val="none"/>
        </w:rPr>
        <w:t>种方式解决：</w:t>
      </w:r>
    </w:p>
    <w:p w14:paraId="4A860EED">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lang w:val="en-US" w:eastAsia="zh-CN"/>
        </w:rPr>
        <w:t>1</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将争议提交</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双方认可</w:t>
      </w:r>
      <w:r>
        <w:rPr>
          <w:rFonts w:hint="eastAsia" w:ascii="仿宋" w:hAnsi="仿宋" w:eastAsia="仿宋" w:cs="仿宋"/>
          <w:color w:val="231F20"/>
          <w:sz w:val="28"/>
          <w:szCs w:val="28"/>
          <w:highlight w:val="none"/>
          <w:u w:val="single" w:color="231F20"/>
          <w:lang w:val="en-US" w:eastAsia="zh-CN"/>
        </w:rPr>
        <w:tab/>
      </w:r>
      <w:r>
        <w:rPr>
          <w:rFonts w:hint="eastAsia" w:ascii="仿宋" w:hAnsi="仿宋" w:eastAsia="仿宋" w:cs="仿宋"/>
          <w:color w:val="231F20"/>
          <w:sz w:val="28"/>
          <w:szCs w:val="28"/>
          <w:highlight w:val="none"/>
        </w:rPr>
        <w:t>仲裁委员会仲裁；</w:t>
      </w:r>
    </w:p>
    <w:p w14:paraId="71E6A264">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left="567" w:leftChars="0" w:right="0" w:right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lang w:val="en-US" w:eastAsia="zh-CN"/>
        </w:rPr>
        <w:t>2</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依法向</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zh-CN" w:eastAsia="zh-CN"/>
        </w:rPr>
        <w:t>湛江</w:t>
      </w:r>
      <w:r>
        <w:rPr>
          <w:rFonts w:hint="eastAsia" w:ascii="仿宋" w:hAnsi="仿宋" w:eastAsia="仿宋" w:cs="仿宋"/>
          <w:color w:val="231F20"/>
          <w:sz w:val="28"/>
          <w:szCs w:val="28"/>
          <w:highlight w:val="none"/>
          <w:u w:val="single" w:color="231F20"/>
          <w:lang w:val="en-US" w:eastAsia="zh-CN"/>
        </w:rPr>
        <w:t xml:space="preserve">经济技术开发区 </w:t>
      </w:r>
      <w:r>
        <w:rPr>
          <w:rFonts w:hint="eastAsia" w:ascii="仿宋" w:hAnsi="仿宋" w:eastAsia="仿宋" w:cs="仿宋"/>
          <w:color w:val="231F20"/>
          <w:sz w:val="28"/>
          <w:szCs w:val="28"/>
          <w:highlight w:val="none"/>
        </w:rPr>
        <w:t>人民法院提起诉讼。</w:t>
      </w:r>
    </w:p>
    <w:p w14:paraId="4D6C9E25">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lang w:val="en-US" w:eastAsia="zh-CN"/>
        </w:rPr>
        <w:t>五</w:t>
      </w:r>
      <w:r>
        <w:rPr>
          <w:rFonts w:hint="eastAsia" w:ascii="仿宋" w:hAnsi="仿宋" w:eastAsia="仿宋" w:cs="仿宋"/>
          <w:b/>
          <w:bCs/>
          <w:color w:val="231F20"/>
          <w:sz w:val="28"/>
          <w:szCs w:val="28"/>
          <w:highlight w:val="none"/>
        </w:rPr>
        <w:t>、其他</w:t>
      </w:r>
    </w:p>
    <w:p w14:paraId="3FE360A2">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合同份数</w:t>
      </w:r>
    </w:p>
    <w:p w14:paraId="30FCCACB">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双方约定本合同</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6 </w:t>
      </w:r>
      <w:r>
        <w:rPr>
          <w:rFonts w:hint="eastAsia" w:ascii="仿宋" w:hAnsi="仿宋" w:eastAsia="仿宋" w:cs="仿宋"/>
          <w:color w:val="231F20"/>
          <w:sz w:val="28"/>
          <w:szCs w:val="28"/>
          <w:highlight w:val="none"/>
        </w:rPr>
        <w:t>份，其中，委托人</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4  </w:t>
      </w:r>
      <w:r>
        <w:rPr>
          <w:rFonts w:hint="eastAsia" w:ascii="仿宋" w:hAnsi="仿宋" w:eastAsia="仿宋" w:cs="仿宋"/>
          <w:color w:val="231F20"/>
          <w:sz w:val="28"/>
          <w:szCs w:val="28"/>
          <w:highlight w:val="none"/>
        </w:rPr>
        <w:t>份，受托人</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2  </w:t>
      </w:r>
      <w:r>
        <w:rPr>
          <w:rFonts w:hint="eastAsia" w:ascii="仿宋" w:hAnsi="仿宋" w:eastAsia="仿宋" w:cs="仿宋"/>
          <w:color w:val="231F20"/>
          <w:sz w:val="28"/>
          <w:szCs w:val="28"/>
          <w:highlight w:val="none"/>
        </w:rPr>
        <w:t>份</w:t>
      </w:r>
      <w:r>
        <w:rPr>
          <w:rFonts w:hint="eastAsia" w:ascii="仿宋" w:hAnsi="仿宋" w:eastAsia="仿宋" w:cs="仿宋"/>
          <w:color w:val="231F20"/>
          <w:sz w:val="28"/>
          <w:szCs w:val="28"/>
          <w:highlight w:val="none"/>
          <w:lang w:eastAsia="zh-CN"/>
        </w:rPr>
        <w:t>。</w:t>
      </w:r>
    </w:p>
    <w:p w14:paraId="23BA7A66">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补充条款：</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b w:val="0"/>
          <w:bCs w:val="0"/>
          <w:color w:val="231F20"/>
          <w:sz w:val="28"/>
          <w:szCs w:val="28"/>
          <w:highlight w:val="none"/>
          <w:u w:val="none" w:color="auto"/>
          <w:lang w:val="en-US" w:eastAsia="zh-CN"/>
        </w:rPr>
        <w:t>；</w:t>
      </w:r>
    </w:p>
    <w:p w14:paraId="359B1552">
      <w:pPr>
        <w:rPr>
          <w:rFonts w:hint="eastAsia" w:ascii="仿宋" w:hAnsi="仿宋" w:eastAsia="仿宋" w:cs="仿宋"/>
          <w:sz w:val="28"/>
          <w:szCs w:val="28"/>
          <w:highlight w:val="none"/>
        </w:rPr>
      </w:pPr>
      <w:r>
        <w:rPr>
          <w:rFonts w:hint="eastAsia" w:ascii="仿宋" w:hAnsi="仿宋" w:eastAsia="仿宋" w:cs="仿宋"/>
          <w:b w:val="0"/>
          <w:bCs w:val="0"/>
          <w:color w:val="231F20"/>
          <w:sz w:val="28"/>
          <w:szCs w:val="28"/>
          <w:highlight w:val="none"/>
          <w:u w:val="none" w:color="auto"/>
          <w:lang w:val="en-US" w:eastAsia="zh-CN"/>
        </w:rPr>
        <w:br w:type="page"/>
      </w:r>
    </w:p>
    <w:p w14:paraId="5A3965B5">
      <w:pPr>
        <w:pStyle w:val="9"/>
        <w:ind w:left="0" w:leftChars="0" w:firstLine="0" w:firstLineChars="0"/>
        <w:jc w:val="both"/>
        <w:rPr>
          <w:rFonts w:hint="eastAsia" w:ascii="仿宋" w:hAnsi="仿宋" w:eastAsia="仿宋" w:cs="仿宋"/>
          <w:b/>
          <w:bCs/>
          <w:color w:val="000000"/>
          <w:sz w:val="28"/>
          <w:szCs w:val="28"/>
          <w:highlight w:val="none"/>
          <w:lang w:val="zh-CN"/>
        </w:rPr>
      </w:pPr>
      <w:r>
        <w:rPr>
          <w:rFonts w:hint="eastAsia" w:ascii="仿宋" w:hAnsi="仿宋" w:eastAsia="仿宋" w:cs="仿宋"/>
          <w:color w:val="000000"/>
          <w:kern w:val="0"/>
          <w:sz w:val="28"/>
          <w:szCs w:val="28"/>
          <w:highlight w:val="none"/>
          <w:lang w:val="zh-CN"/>
        </w:rPr>
        <w:t>附件：招标代理服务收费管理暂行办法</w:t>
      </w:r>
    </w:p>
    <w:p w14:paraId="7B517AE2">
      <w:pPr>
        <w:pStyle w:val="9"/>
        <w:ind w:firstLine="281"/>
        <w:jc w:val="center"/>
        <w:rPr>
          <w:rFonts w:hint="eastAsia" w:ascii="仿宋" w:hAnsi="仿宋" w:eastAsia="仿宋" w:cs="仿宋"/>
          <w:b/>
          <w:bCs/>
          <w:color w:val="000000"/>
          <w:sz w:val="28"/>
          <w:szCs w:val="28"/>
          <w:highlight w:val="none"/>
          <w:lang w:val="zh-CN"/>
        </w:rPr>
      </w:pPr>
    </w:p>
    <w:p w14:paraId="094582E4">
      <w:pPr>
        <w:pStyle w:val="9"/>
        <w:ind w:firstLine="281"/>
        <w:jc w:val="center"/>
        <w:rPr>
          <w:rFonts w:hint="eastAsia" w:ascii="仿宋" w:hAnsi="仿宋" w:eastAsia="仿宋" w:cs="仿宋"/>
          <w:color w:val="000000"/>
          <w:sz w:val="36"/>
          <w:szCs w:val="36"/>
          <w:highlight w:val="none"/>
          <w:lang w:val="zh-CN"/>
        </w:rPr>
      </w:pPr>
      <w:r>
        <w:rPr>
          <w:rFonts w:hint="eastAsia" w:ascii="仿宋" w:hAnsi="仿宋" w:eastAsia="仿宋" w:cs="仿宋"/>
          <w:b/>
          <w:bCs/>
          <w:color w:val="000000"/>
          <w:sz w:val="36"/>
          <w:szCs w:val="36"/>
          <w:highlight w:val="none"/>
          <w:lang w:val="zh-CN"/>
        </w:rPr>
        <w:t>国家计委关于印发《招标代理服务收费管理暂行办法》的通知</w:t>
      </w:r>
      <w:r>
        <w:rPr>
          <w:rFonts w:hint="eastAsia" w:ascii="仿宋" w:hAnsi="仿宋" w:eastAsia="仿宋" w:cs="仿宋"/>
          <w:color w:val="000000"/>
          <w:sz w:val="36"/>
          <w:szCs w:val="36"/>
          <w:highlight w:val="none"/>
          <w:lang w:val="zh-CN"/>
        </w:rPr>
        <w:t xml:space="preserve">                </w:t>
      </w:r>
    </w:p>
    <w:p w14:paraId="40DF1352">
      <w:pPr>
        <w:spacing w:line="360" w:lineRule="auto"/>
        <w:ind w:firstLine="4200" w:firstLineChars="1500"/>
        <w:jc w:val="right"/>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计价格［2002]1980号</w:t>
      </w:r>
    </w:p>
    <w:p w14:paraId="26692808">
      <w:pPr>
        <w:spacing w:line="360" w:lineRule="auto"/>
        <w:jc w:val="both"/>
        <w:rPr>
          <w:rFonts w:hint="eastAsia" w:ascii="仿宋" w:hAnsi="仿宋" w:eastAsia="仿宋" w:cs="仿宋"/>
          <w:color w:val="000000"/>
          <w:szCs w:val="30"/>
          <w:highlight w:val="none"/>
          <w:lang w:val="zh-CN"/>
        </w:rPr>
      </w:pPr>
    </w:p>
    <w:p w14:paraId="25151D7D">
      <w:pPr>
        <w:spacing w:line="480" w:lineRule="auto"/>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各省、自治区、直辖市计委、物价局：</w:t>
      </w:r>
    </w:p>
    <w:p w14:paraId="05F5A1E0">
      <w:pPr>
        <w:spacing w:line="480" w:lineRule="auto"/>
        <w:ind w:firstLine="560" w:firstLineChars="200"/>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为规范招标代理服务收费行为，维护招标人、 技标人和招标代理机构的合法权益，促进招标代理行业的健康发展，我委制定了《招标代理服务收费管理暂行办法》（以下简称《办法》），现印发给你们，请按照执行。</w:t>
      </w:r>
    </w:p>
    <w:p w14:paraId="084D2986">
      <w:pPr>
        <w:spacing w:line="480" w:lineRule="auto"/>
        <w:ind w:firstLine="560" w:firstLineChars="200"/>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根据《国家计委、财政部关于整顿招标投标收费的通知》（计价格［2002]520号） 规定，实行由中标人付费的机电设备招标代理服务，可暂按现行有关规定执行， 至2004 年 1 月 1 日统一执行委托人付费。机电设备招标代理服务收费标准，自《办法》 生效之日起按《办法》规定执行。药品集中招标采购收费暂按现行有关规定执行。</w:t>
      </w:r>
    </w:p>
    <w:p w14:paraId="3E8C4906">
      <w:pPr>
        <w:spacing w:line="480" w:lineRule="auto"/>
        <w:ind w:firstLine="560" w:firstLineChars="200"/>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特此通知。</w:t>
      </w:r>
    </w:p>
    <w:p w14:paraId="6CC2DFB4">
      <w:pPr>
        <w:pStyle w:val="9"/>
        <w:ind w:firstLine="210"/>
        <w:rPr>
          <w:rFonts w:hint="eastAsia" w:ascii="仿宋" w:hAnsi="仿宋" w:eastAsia="仿宋" w:cs="仿宋"/>
          <w:color w:val="000000"/>
          <w:sz w:val="28"/>
          <w:szCs w:val="28"/>
          <w:highlight w:val="none"/>
          <w:lang w:val="zh-CN"/>
        </w:rPr>
      </w:pPr>
    </w:p>
    <w:p w14:paraId="53BD3FEC">
      <w:pPr>
        <w:pStyle w:val="9"/>
        <w:ind w:firstLine="210"/>
        <w:rPr>
          <w:rFonts w:hint="eastAsia" w:ascii="仿宋" w:hAnsi="仿宋" w:eastAsia="仿宋" w:cs="仿宋"/>
          <w:color w:val="000000"/>
          <w:sz w:val="28"/>
          <w:szCs w:val="28"/>
          <w:highlight w:val="none"/>
          <w:lang w:val="zh-CN"/>
        </w:rPr>
      </w:pPr>
    </w:p>
    <w:p w14:paraId="104D1F92">
      <w:pPr>
        <w:pStyle w:val="9"/>
        <w:ind w:firstLine="210"/>
        <w:rPr>
          <w:rFonts w:hint="eastAsia" w:ascii="仿宋" w:hAnsi="仿宋" w:eastAsia="仿宋" w:cs="仿宋"/>
          <w:color w:val="000000"/>
          <w:sz w:val="28"/>
          <w:szCs w:val="28"/>
          <w:highlight w:val="none"/>
          <w:lang w:val="zh-CN"/>
        </w:rPr>
      </w:pPr>
    </w:p>
    <w:p w14:paraId="06AB9586">
      <w:pPr>
        <w:pStyle w:val="9"/>
        <w:ind w:firstLine="210"/>
        <w:rPr>
          <w:rFonts w:hint="eastAsia" w:ascii="仿宋" w:hAnsi="仿宋" w:eastAsia="仿宋" w:cs="仿宋"/>
          <w:color w:val="000000"/>
          <w:sz w:val="28"/>
          <w:szCs w:val="28"/>
          <w:highlight w:val="none"/>
          <w:lang w:val="zh-CN"/>
        </w:rPr>
      </w:pPr>
    </w:p>
    <w:p w14:paraId="36559F75">
      <w:pPr>
        <w:pStyle w:val="9"/>
        <w:ind w:firstLine="240"/>
        <w:rPr>
          <w:rFonts w:hint="eastAsia" w:ascii="仿宋" w:hAnsi="仿宋" w:eastAsia="仿宋" w:cs="仿宋"/>
          <w:color w:val="000000"/>
          <w:kern w:val="0"/>
          <w:sz w:val="28"/>
          <w:szCs w:val="28"/>
          <w:highlight w:val="none"/>
          <w:lang w:val="zh-CN"/>
        </w:rPr>
      </w:pPr>
    </w:p>
    <w:p w14:paraId="36AD8560">
      <w:pPr>
        <w:pStyle w:val="9"/>
        <w:spacing w:line="360" w:lineRule="auto"/>
        <w:rPr>
          <w:rFonts w:hint="eastAsia" w:ascii="仿宋" w:hAnsi="仿宋" w:eastAsia="仿宋" w:cs="仿宋"/>
          <w:color w:val="000000"/>
          <w:kern w:val="0"/>
          <w:sz w:val="28"/>
          <w:szCs w:val="28"/>
          <w:highlight w:val="none"/>
          <w:lang w:val="zh-CN"/>
        </w:rPr>
      </w:pPr>
    </w:p>
    <w:p w14:paraId="7AFE0AC0">
      <w:pPr>
        <w:pStyle w:val="9"/>
        <w:spacing w:line="480" w:lineRule="auto"/>
        <w:jc w:val="right"/>
        <w:rPr>
          <w:rFonts w:hint="eastAsia" w:ascii="仿宋" w:hAnsi="仿宋" w:eastAsia="仿宋" w:cs="仿宋"/>
          <w:color w:val="000000"/>
          <w:kern w:val="0"/>
          <w:sz w:val="28"/>
          <w:szCs w:val="28"/>
          <w:highlight w:val="none"/>
          <w:lang w:val="zh-CN"/>
        </w:rPr>
      </w:pPr>
      <w:r>
        <w:rPr>
          <w:rFonts w:hint="eastAsia" w:ascii="仿宋" w:hAnsi="仿宋" w:eastAsia="仿宋" w:cs="仿宋"/>
          <w:color w:val="000000"/>
          <w:kern w:val="0"/>
          <w:sz w:val="28"/>
          <w:szCs w:val="28"/>
          <w:highlight w:val="none"/>
          <w:lang w:val="zh-CN"/>
        </w:rPr>
        <w:t>中华人民共和国国家发展计划委员会</w:t>
      </w:r>
    </w:p>
    <w:p w14:paraId="04FF2B0E">
      <w:pPr>
        <w:pStyle w:val="9"/>
        <w:spacing w:line="480" w:lineRule="auto"/>
        <w:ind w:firstLine="6440" w:firstLineChars="2300"/>
        <w:rPr>
          <w:rFonts w:hint="eastAsia" w:ascii="仿宋" w:hAnsi="仿宋" w:eastAsia="仿宋" w:cs="仿宋"/>
          <w:color w:val="000000"/>
          <w:kern w:val="0"/>
          <w:sz w:val="28"/>
          <w:szCs w:val="28"/>
          <w:highlight w:val="none"/>
          <w:lang w:val="zh-CN"/>
        </w:rPr>
      </w:pPr>
      <w:r>
        <w:rPr>
          <w:rFonts w:hint="eastAsia" w:ascii="仿宋" w:hAnsi="仿宋" w:eastAsia="仿宋" w:cs="仿宋"/>
          <w:color w:val="000000"/>
          <w:kern w:val="0"/>
          <w:sz w:val="28"/>
          <w:szCs w:val="28"/>
          <w:highlight w:val="none"/>
          <w:lang w:val="zh-CN"/>
        </w:rPr>
        <w:t>二00二年十月一日</w:t>
      </w:r>
    </w:p>
    <w:p w14:paraId="7B3E3681">
      <w:pPr>
        <w:jc w:val="center"/>
        <w:rPr>
          <w:rFonts w:hint="eastAsia" w:ascii="仿宋" w:hAnsi="仿宋" w:eastAsia="仿宋" w:cs="仿宋"/>
          <w:color w:val="000000"/>
          <w:sz w:val="28"/>
          <w:szCs w:val="28"/>
          <w:highlight w:val="none"/>
          <w:lang w:bidi="ar"/>
        </w:rPr>
      </w:pPr>
    </w:p>
    <w:p w14:paraId="2954D39E">
      <w:pPr>
        <w:jc w:val="center"/>
        <w:rPr>
          <w:rFonts w:hint="eastAsia" w:ascii="仿宋" w:hAnsi="仿宋" w:eastAsia="仿宋" w:cs="仿宋"/>
          <w:color w:val="000000"/>
          <w:sz w:val="28"/>
          <w:szCs w:val="28"/>
          <w:highlight w:val="none"/>
          <w:lang w:bidi="ar"/>
        </w:rPr>
      </w:pPr>
    </w:p>
    <w:p w14:paraId="26C54F02">
      <w:pPr>
        <w:jc w:val="both"/>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val="en-US" w:eastAsia="zh-CN" w:bidi="ar"/>
        </w:rPr>
        <w:t>附：</w:t>
      </w:r>
      <w:r>
        <w:rPr>
          <w:rFonts w:hint="eastAsia" w:ascii="仿宋" w:hAnsi="仿宋" w:eastAsia="仿宋" w:cs="仿宋"/>
          <w:color w:val="000000"/>
          <w:sz w:val="24"/>
          <w:szCs w:val="24"/>
          <w:highlight w:val="none"/>
          <w:lang w:bidi="ar"/>
        </w:rPr>
        <w:t>招标代理服务费收费标准</w:t>
      </w:r>
    </w:p>
    <w:p w14:paraId="6E730A08">
      <w:pPr>
        <w:jc w:val="center"/>
        <w:rPr>
          <w:rFonts w:hint="eastAsia" w:ascii="仿宋" w:hAnsi="仿宋" w:eastAsia="仿宋" w:cs="仿宋"/>
          <w:color w:val="000000"/>
          <w:sz w:val="28"/>
          <w:szCs w:val="28"/>
          <w:highlight w:val="none"/>
          <w:lang w:bidi="ar"/>
        </w:rPr>
      </w:pPr>
    </w:p>
    <w:p w14:paraId="12EB958C">
      <w:pPr>
        <w:jc w:val="center"/>
        <w:rPr>
          <w:rFonts w:hint="eastAsia" w:ascii="仿宋" w:hAnsi="仿宋" w:eastAsia="仿宋" w:cs="仿宋"/>
          <w:color w:val="000000"/>
          <w:highlight w:val="none"/>
        </w:rPr>
      </w:pPr>
      <w:r>
        <w:rPr>
          <w:rFonts w:hint="eastAsia" w:ascii="仿宋" w:hAnsi="仿宋" w:eastAsia="仿宋" w:cs="仿宋"/>
          <w:color w:val="000000"/>
          <w:sz w:val="28"/>
          <w:szCs w:val="28"/>
          <w:highlight w:val="none"/>
          <w:lang w:bidi="ar"/>
        </w:rPr>
        <w:t>招标代理服务收费标准</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4C6E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77170445">
            <w:pPr>
              <w:ind w:firstLine="1287" w:firstLineChars="585"/>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4" name="直接连接符 4"/>
                      <wp:cNvGraphicFramePr/>
                      <a:graphic xmlns:a="http://schemas.openxmlformats.org/drawingml/2006/main">
                        <a:graphicData uri="http://schemas.microsoft.com/office/word/2010/wordprocessingShape">
                          <wps:wsp>
                            <wps:cNvCnPr/>
                            <wps:spPr>
                              <a:xfrm flipH="1" flipV="1">
                                <a:off x="0" y="0"/>
                                <a:ext cx="1325245" cy="12319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29.45pt;margin-top:1.5pt;height:97pt;width:104.35pt;z-index:251660288;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fS51AAAAAgBAAAPAAAAAAAAAAEAIAAAACIA&#10;AABkcnMvZG93bnJldi54bWxQSwECFAAUAAAACACHTuJANVnOrA0CAAAMBAAADgAAAAAAAAABACAA&#10;AAAjAQAAZHJzL2Uyb0RvYy54bWxQSwUGAAAAAAYABgBZAQAAogUAAAAA&#10;">
                      <v:fill on="f" focussize="0,0"/>
                      <v:stroke color="#000000" joinstyle="round"/>
                      <v:imagedata o:title=""/>
                      <o:lock v:ext="edit" aspectratio="f"/>
                    </v:line>
                  </w:pict>
                </mc:Fallback>
              </mc:AlternateContent>
            </w:r>
          </w:p>
          <w:p w14:paraId="67E835BD">
            <w:pPr>
              <w:ind w:firstLine="1320" w:firstLineChars="600"/>
              <w:rPr>
                <w:rFonts w:hint="eastAsia" w:ascii="仿宋" w:hAnsi="仿宋" w:eastAsia="仿宋" w:cs="仿宋"/>
                <w:color w:val="000000"/>
                <w:highlight w:val="none"/>
              </w:rPr>
            </w:pPr>
            <w:r>
              <w:rPr>
                <w:rFonts w:hint="eastAsia" w:ascii="仿宋" w:hAnsi="仿宋" w:eastAsia="仿宋" w:cs="仿宋"/>
                <w:color w:val="000000"/>
                <w:highlight w:val="none"/>
              </w:rPr>
              <w:t>服务类型</w:t>
            </w:r>
          </w:p>
          <w:p w14:paraId="07D36CB1">
            <w:pPr>
              <w:ind w:firstLine="431" w:firstLineChars="196"/>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157480</wp:posOffset>
                      </wp:positionV>
                      <wp:extent cx="1772920" cy="720090"/>
                      <wp:effectExtent l="1905" t="4445" r="15875" b="18415"/>
                      <wp:wrapNone/>
                      <wp:docPr id="7" name="直接连接符 7"/>
                      <wp:cNvGraphicFramePr/>
                      <a:graphic xmlns:a="http://schemas.openxmlformats.org/drawingml/2006/main">
                        <a:graphicData uri="http://schemas.microsoft.com/office/word/2010/wordprocessingShape">
                          <wps:wsp>
                            <wps:cNvCnPr/>
                            <wps:spPr>
                              <a:xfrm flipH="1" flipV="1">
                                <a:off x="0" y="0"/>
                                <a:ext cx="1748790" cy="6800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15pt;margin-top:12.4pt;height:56.7pt;width:139.6pt;z-index:251659264;mso-width-relative:page;mso-height-relative:page;" filled="f" stroked="t" coordsize="21600,21600" o:gfxdata="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hCK39UAAAAKAQAADwAAAAAAAAABACAAAAAiAAAA&#10;ZHJzL2Rvd25yZXYueG1sUEsBAhQAFAAAAAgAh07iQDQWW7gKAgAACwQAAA4AAAAAAAAAAQAgAAAA&#10;JAEAAGRycy9lMm9Eb2MueG1sUEsFBgAAAAAGAAYAWQEAAKAFAAAAAA==&#10;">
                      <v:fill on="f" focussize="0,0"/>
                      <v:stroke color="#000000" joinstyle="round"/>
                      <v:imagedata o:title=""/>
                      <o:lock v:ext="edit" aspectratio="f"/>
                    </v:line>
                  </w:pict>
                </mc:Fallback>
              </mc:AlternateContent>
            </w:r>
            <w:r>
              <w:rPr>
                <w:rFonts w:hint="eastAsia" w:ascii="仿宋" w:hAnsi="仿宋" w:eastAsia="仿宋" w:cs="仿宋"/>
                <w:color w:val="000000"/>
                <w:highlight w:val="none"/>
              </w:rPr>
              <w:t>费率</w:t>
            </w:r>
          </w:p>
          <w:p w14:paraId="349A0894">
            <w:pPr>
              <w:rPr>
                <w:rFonts w:hint="eastAsia" w:ascii="仿宋" w:hAnsi="仿宋" w:eastAsia="仿宋" w:cs="仿宋"/>
                <w:color w:val="000000"/>
                <w:highlight w:val="none"/>
              </w:rPr>
            </w:pPr>
          </w:p>
          <w:p w14:paraId="63332A6A">
            <w:pPr>
              <w:rPr>
                <w:rFonts w:hint="eastAsia" w:ascii="仿宋" w:hAnsi="仿宋" w:eastAsia="仿宋" w:cs="仿宋"/>
                <w:color w:val="000000"/>
                <w:highlight w:val="none"/>
              </w:rPr>
            </w:pPr>
          </w:p>
          <w:p w14:paraId="79400D99">
            <w:pPr>
              <w:rPr>
                <w:rFonts w:hint="eastAsia" w:ascii="仿宋" w:hAnsi="仿宋" w:eastAsia="仿宋" w:cs="仿宋"/>
                <w:color w:val="000000"/>
                <w:highlight w:val="none"/>
              </w:rPr>
            </w:pPr>
            <w:r>
              <w:rPr>
                <w:rFonts w:hint="eastAsia" w:ascii="仿宋" w:hAnsi="仿宋" w:eastAsia="仿宋" w:cs="仿宋"/>
                <w:color w:val="000000"/>
                <w:highlight w:val="none"/>
              </w:rPr>
              <w:t>中标金额（万元）</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9D6659B">
            <w:pPr>
              <w:jc w:val="center"/>
              <w:rPr>
                <w:rFonts w:hint="eastAsia" w:ascii="仿宋" w:hAnsi="仿宋" w:eastAsia="仿宋" w:cs="仿宋"/>
                <w:color w:val="000000"/>
                <w:highlight w:val="none"/>
              </w:rPr>
            </w:pPr>
            <w:r>
              <w:rPr>
                <w:rFonts w:hint="eastAsia" w:ascii="仿宋" w:hAnsi="仿宋" w:eastAsia="仿宋" w:cs="仿宋"/>
                <w:color w:val="000000"/>
                <w:highlight w:val="none"/>
              </w:rPr>
              <w:t>货物招标</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3979D4C">
            <w:pPr>
              <w:jc w:val="center"/>
              <w:rPr>
                <w:rFonts w:hint="eastAsia" w:ascii="仿宋" w:hAnsi="仿宋" w:eastAsia="仿宋" w:cs="仿宋"/>
                <w:color w:val="000000"/>
                <w:highlight w:val="none"/>
              </w:rPr>
            </w:pPr>
            <w:r>
              <w:rPr>
                <w:rFonts w:hint="eastAsia" w:ascii="仿宋" w:hAnsi="仿宋" w:eastAsia="仿宋" w:cs="仿宋"/>
                <w:color w:val="000000"/>
                <w:highlight w:val="none"/>
              </w:rPr>
              <w:t>服务招标</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94B9732">
            <w:pPr>
              <w:jc w:val="center"/>
              <w:rPr>
                <w:rFonts w:hint="eastAsia" w:ascii="仿宋" w:hAnsi="仿宋" w:eastAsia="仿宋" w:cs="仿宋"/>
                <w:color w:val="000000"/>
                <w:highlight w:val="none"/>
              </w:rPr>
            </w:pPr>
            <w:r>
              <w:rPr>
                <w:rFonts w:hint="eastAsia" w:ascii="仿宋" w:hAnsi="仿宋" w:eastAsia="仿宋" w:cs="仿宋"/>
                <w:color w:val="000000"/>
                <w:highlight w:val="none"/>
              </w:rPr>
              <w:t>工程招标</w:t>
            </w:r>
          </w:p>
        </w:tc>
      </w:tr>
      <w:tr w14:paraId="39D4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31181243">
            <w:pPr>
              <w:jc w:val="center"/>
              <w:rPr>
                <w:rFonts w:hint="eastAsia" w:ascii="仿宋" w:hAnsi="仿宋" w:eastAsia="仿宋" w:cs="仿宋"/>
                <w:color w:val="000000"/>
                <w:highlight w:val="none"/>
              </w:rPr>
            </w:pPr>
            <w:r>
              <w:rPr>
                <w:rFonts w:hint="eastAsia" w:ascii="仿宋" w:hAnsi="仿宋" w:eastAsia="仿宋" w:cs="仿宋"/>
                <w:color w:val="000000"/>
                <w:highlight w:val="none"/>
              </w:rPr>
              <w:t>100以下</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DF40B04">
            <w:pPr>
              <w:jc w:val="center"/>
              <w:rPr>
                <w:rFonts w:hint="eastAsia" w:ascii="仿宋" w:hAnsi="仿宋" w:eastAsia="仿宋" w:cs="仿宋"/>
                <w:color w:val="000000"/>
                <w:highlight w:val="none"/>
              </w:rPr>
            </w:pPr>
            <w:r>
              <w:rPr>
                <w:rFonts w:hint="eastAsia" w:ascii="仿宋" w:hAnsi="仿宋" w:eastAsia="仿宋" w:cs="仿宋"/>
                <w:color w:val="000000"/>
                <w:highlight w:val="none"/>
              </w:rPr>
              <w:t>1.5%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D290B21">
            <w:pPr>
              <w:jc w:val="center"/>
              <w:rPr>
                <w:rFonts w:hint="eastAsia" w:ascii="仿宋" w:hAnsi="仿宋" w:eastAsia="仿宋" w:cs="仿宋"/>
                <w:color w:val="000000"/>
                <w:highlight w:val="none"/>
              </w:rPr>
            </w:pPr>
            <w:r>
              <w:rPr>
                <w:rFonts w:hint="eastAsia" w:ascii="仿宋" w:hAnsi="仿宋" w:eastAsia="仿宋" w:cs="仿宋"/>
                <w:color w:val="000000"/>
                <w:highlight w:val="none"/>
              </w:rPr>
              <w:t>1.5%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516F6FF">
            <w:pPr>
              <w:jc w:val="center"/>
              <w:rPr>
                <w:rFonts w:hint="eastAsia" w:ascii="仿宋" w:hAnsi="仿宋" w:eastAsia="仿宋" w:cs="仿宋"/>
                <w:color w:val="000000"/>
                <w:highlight w:val="none"/>
              </w:rPr>
            </w:pPr>
            <w:r>
              <w:rPr>
                <w:rFonts w:hint="eastAsia" w:ascii="仿宋" w:hAnsi="仿宋" w:eastAsia="仿宋" w:cs="仿宋"/>
                <w:color w:val="000000"/>
                <w:highlight w:val="none"/>
              </w:rPr>
              <w:t>1.0%</w:t>
            </w:r>
          </w:p>
        </w:tc>
      </w:tr>
      <w:tr w14:paraId="2E7B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0C623BC9">
            <w:pPr>
              <w:jc w:val="center"/>
              <w:rPr>
                <w:rFonts w:hint="eastAsia" w:ascii="仿宋" w:hAnsi="仿宋" w:eastAsia="仿宋" w:cs="仿宋"/>
                <w:color w:val="000000"/>
                <w:highlight w:val="none"/>
              </w:rPr>
            </w:pPr>
            <w:r>
              <w:rPr>
                <w:rFonts w:hint="eastAsia" w:ascii="仿宋" w:hAnsi="仿宋" w:eastAsia="仿宋" w:cs="仿宋"/>
                <w:color w:val="000000"/>
                <w:highlight w:val="none"/>
              </w:rPr>
              <w:t>100-500</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DB4D23F">
            <w:pPr>
              <w:jc w:val="center"/>
              <w:rPr>
                <w:rFonts w:hint="eastAsia" w:ascii="仿宋" w:hAnsi="仿宋" w:eastAsia="仿宋" w:cs="仿宋"/>
                <w:color w:val="000000"/>
                <w:highlight w:val="none"/>
              </w:rPr>
            </w:pPr>
            <w:r>
              <w:rPr>
                <w:rFonts w:hint="eastAsia" w:ascii="仿宋" w:hAnsi="仿宋" w:eastAsia="仿宋" w:cs="仿宋"/>
                <w:color w:val="000000"/>
                <w:highlight w:val="none"/>
              </w:rPr>
              <w:t>1.1%</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3554715">
            <w:pPr>
              <w:jc w:val="center"/>
              <w:rPr>
                <w:rFonts w:hint="eastAsia" w:ascii="仿宋" w:hAnsi="仿宋" w:eastAsia="仿宋" w:cs="仿宋"/>
                <w:color w:val="000000"/>
                <w:highlight w:val="none"/>
              </w:rPr>
            </w:pPr>
            <w:r>
              <w:rPr>
                <w:rFonts w:hint="eastAsia" w:ascii="仿宋" w:hAnsi="仿宋" w:eastAsia="仿宋" w:cs="仿宋"/>
                <w:color w:val="000000"/>
                <w:highlight w:val="none"/>
              </w:rPr>
              <w:t>0.8%</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86EA989">
            <w:pPr>
              <w:jc w:val="center"/>
              <w:rPr>
                <w:rFonts w:hint="eastAsia" w:ascii="仿宋" w:hAnsi="仿宋" w:eastAsia="仿宋" w:cs="仿宋"/>
                <w:color w:val="000000"/>
                <w:highlight w:val="none"/>
              </w:rPr>
            </w:pPr>
            <w:r>
              <w:rPr>
                <w:rFonts w:hint="eastAsia" w:ascii="仿宋" w:hAnsi="仿宋" w:eastAsia="仿宋" w:cs="仿宋"/>
                <w:color w:val="000000"/>
                <w:highlight w:val="none"/>
              </w:rPr>
              <w:t>0.7%</w:t>
            </w:r>
          </w:p>
        </w:tc>
      </w:tr>
      <w:tr w14:paraId="12EE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28C8C1CD">
            <w:pPr>
              <w:jc w:val="center"/>
              <w:rPr>
                <w:rFonts w:hint="eastAsia" w:ascii="仿宋" w:hAnsi="仿宋" w:eastAsia="仿宋" w:cs="仿宋"/>
                <w:color w:val="000000"/>
                <w:highlight w:val="none"/>
              </w:rPr>
            </w:pPr>
            <w:r>
              <w:rPr>
                <w:rFonts w:hint="eastAsia" w:ascii="仿宋" w:hAnsi="仿宋" w:eastAsia="仿宋" w:cs="仿宋"/>
                <w:color w:val="000000"/>
                <w:highlight w:val="none"/>
              </w:rPr>
              <w:t>500-1000</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CC22231">
            <w:pPr>
              <w:jc w:val="center"/>
              <w:rPr>
                <w:rFonts w:hint="eastAsia" w:ascii="仿宋" w:hAnsi="仿宋" w:eastAsia="仿宋" w:cs="仿宋"/>
                <w:color w:val="000000"/>
                <w:highlight w:val="none"/>
              </w:rPr>
            </w:pPr>
            <w:r>
              <w:rPr>
                <w:rFonts w:hint="eastAsia" w:ascii="仿宋" w:hAnsi="仿宋" w:eastAsia="仿宋" w:cs="仿宋"/>
                <w:color w:val="000000"/>
                <w:highlight w:val="none"/>
              </w:rPr>
              <w:t>0.8%</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F865E78">
            <w:pPr>
              <w:jc w:val="center"/>
              <w:rPr>
                <w:rFonts w:hint="eastAsia" w:ascii="仿宋" w:hAnsi="仿宋" w:eastAsia="仿宋" w:cs="仿宋"/>
                <w:color w:val="000000"/>
                <w:highlight w:val="none"/>
              </w:rPr>
            </w:pPr>
            <w:r>
              <w:rPr>
                <w:rFonts w:hint="eastAsia" w:ascii="仿宋" w:hAnsi="仿宋" w:eastAsia="仿宋" w:cs="仿宋"/>
                <w:color w:val="000000"/>
                <w:highlight w:val="none"/>
              </w:rPr>
              <w:t>0.45%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B10755A">
            <w:pPr>
              <w:jc w:val="center"/>
              <w:rPr>
                <w:rFonts w:hint="eastAsia" w:ascii="仿宋" w:hAnsi="仿宋" w:eastAsia="仿宋" w:cs="仿宋"/>
                <w:color w:val="000000"/>
                <w:highlight w:val="none"/>
              </w:rPr>
            </w:pPr>
            <w:r>
              <w:rPr>
                <w:rFonts w:hint="eastAsia" w:ascii="仿宋" w:hAnsi="仿宋" w:eastAsia="仿宋" w:cs="仿宋"/>
                <w:color w:val="000000"/>
                <w:highlight w:val="none"/>
              </w:rPr>
              <w:t>0.55%</w:t>
            </w:r>
          </w:p>
        </w:tc>
      </w:tr>
      <w:tr w14:paraId="5649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3F00327D">
            <w:pPr>
              <w:jc w:val="center"/>
              <w:rPr>
                <w:rFonts w:hint="eastAsia" w:ascii="仿宋" w:hAnsi="仿宋" w:eastAsia="仿宋" w:cs="仿宋"/>
                <w:color w:val="000000"/>
                <w:highlight w:val="none"/>
              </w:rPr>
            </w:pPr>
            <w:r>
              <w:rPr>
                <w:rFonts w:hint="eastAsia" w:ascii="仿宋" w:hAnsi="仿宋" w:eastAsia="仿宋" w:cs="仿宋"/>
                <w:color w:val="000000"/>
                <w:highlight w:val="none"/>
              </w:rPr>
              <w:t>1000-5000</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7B57EBA">
            <w:pPr>
              <w:jc w:val="center"/>
              <w:rPr>
                <w:rFonts w:hint="eastAsia" w:ascii="仿宋" w:hAnsi="仿宋" w:eastAsia="仿宋" w:cs="仿宋"/>
                <w:color w:val="000000"/>
                <w:highlight w:val="none"/>
              </w:rPr>
            </w:pPr>
            <w:r>
              <w:rPr>
                <w:rFonts w:hint="eastAsia" w:ascii="仿宋" w:hAnsi="仿宋" w:eastAsia="仿宋" w:cs="仿宋"/>
                <w:color w:val="000000"/>
                <w:highlight w:val="none"/>
              </w:rPr>
              <w:t>0.5%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2BAEFBF">
            <w:pPr>
              <w:jc w:val="center"/>
              <w:rPr>
                <w:rFonts w:hint="eastAsia" w:ascii="仿宋" w:hAnsi="仿宋" w:eastAsia="仿宋" w:cs="仿宋"/>
                <w:color w:val="000000"/>
                <w:highlight w:val="none"/>
              </w:rPr>
            </w:pPr>
            <w:r>
              <w:rPr>
                <w:rFonts w:hint="eastAsia" w:ascii="仿宋" w:hAnsi="仿宋" w:eastAsia="仿宋" w:cs="仿宋"/>
                <w:color w:val="000000"/>
                <w:highlight w:val="none"/>
              </w:rPr>
              <w:t>0.25%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5A59826">
            <w:pPr>
              <w:jc w:val="center"/>
              <w:rPr>
                <w:rFonts w:hint="eastAsia" w:ascii="仿宋" w:hAnsi="仿宋" w:eastAsia="仿宋" w:cs="仿宋"/>
                <w:color w:val="000000"/>
                <w:highlight w:val="none"/>
              </w:rPr>
            </w:pPr>
            <w:r>
              <w:rPr>
                <w:rFonts w:hint="eastAsia" w:ascii="仿宋" w:hAnsi="仿宋" w:eastAsia="仿宋" w:cs="仿宋"/>
                <w:color w:val="000000"/>
                <w:highlight w:val="none"/>
              </w:rPr>
              <w:t>0.35%</w:t>
            </w:r>
          </w:p>
        </w:tc>
      </w:tr>
      <w:tr w14:paraId="00B7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7A39A587">
            <w:pPr>
              <w:jc w:val="center"/>
              <w:rPr>
                <w:rFonts w:hint="eastAsia" w:ascii="仿宋" w:hAnsi="仿宋" w:eastAsia="仿宋" w:cs="仿宋"/>
                <w:color w:val="000000"/>
                <w:highlight w:val="none"/>
              </w:rPr>
            </w:pPr>
            <w:r>
              <w:rPr>
                <w:rFonts w:hint="eastAsia" w:ascii="仿宋" w:hAnsi="仿宋" w:eastAsia="仿宋" w:cs="仿宋"/>
                <w:color w:val="000000"/>
                <w:highlight w:val="none"/>
              </w:rPr>
              <w:t>5000-10000</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94F1315">
            <w:pPr>
              <w:jc w:val="center"/>
              <w:rPr>
                <w:rFonts w:hint="eastAsia" w:ascii="仿宋" w:hAnsi="仿宋" w:eastAsia="仿宋" w:cs="仿宋"/>
                <w:color w:val="000000"/>
                <w:highlight w:val="none"/>
              </w:rPr>
            </w:pPr>
            <w:r>
              <w:rPr>
                <w:rFonts w:hint="eastAsia" w:ascii="仿宋" w:hAnsi="仿宋" w:eastAsia="仿宋" w:cs="仿宋"/>
                <w:color w:val="000000"/>
                <w:highlight w:val="none"/>
              </w:rPr>
              <w:t>0.25%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7ACD0FE">
            <w:pPr>
              <w:jc w:val="center"/>
              <w:rPr>
                <w:rFonts w:hint="eastAsia" w:ascii="仿宋" w:hAnsi="仿宋" w:eastAsia="仿宋" w:cs="仿宋"/>
                <w:color w:val="000000"/>
                <w:highlight w:val="none"/>
              </w:rPr>
            </w:pPr>
            <w:r>
              <w:rPr>
                <w:rFonts w:hint="eastAsia" w:ascii="仿宋" w:hAnsi="仿宋" w:eastAsia="仿宋" w:cs="仿宋"/>
                <w:color w:val="000000"/>
                <w:highlight w:val="none"/>
              </w:rPr>
              <w:t>0.1%</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353FF80">
            <w:pPr>
              <w:jc w:val="center"/>
              <w:rPr>
                <w:rFonts w:hint="eastAsia" w:ascii="仿宋" w:hAnsi="仿宋" w:eastAsia="仿宋" w:cs="仿宋"/>
                <w:color w:val="000000"/>
                <w:highlight w:val="none"/>
              </w:rPr>
            </w:pPr>
            <w:r>
              <w:rPr>
                <w:rFonts w:hint="eastAsia" w:ascii="仿宋" w:hAnsi="仿宋" w:eastAsia="仿宋" w:cs="仿宋"/>
                <w:color w:val="000000"/>
                <w:highlight w:val="none"/>
              </w:rPr>
              <w:t>0.2%</w:t>
            </w:r>
          </w:p>
        </w:tc>
      </w:tr>
      <w:tr w14:paraId="46D3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2B127CA2">
            <w:pPr>
              <w:jc w:val="center"/>
              <w:rPr>
                <w:rFonts w:hint="eastAsia" w:ascii="仿宋" w:hAnsi="仿宋" w:eastAsia="仿宋" w:cs="仿宋"/>
                <w:color w:val="000000"/>
                <w:highlight w:val="none"/>
              </w:rPr>
            </w:pPr>
            <w:r>
              <w:rPr>
                <w:rFonts w:hint="eastAsia" w:ascii="仿宋" w:hAnsi="仿宋" w:eastAsia="仿宋" w:cs="仿宋"/>
                <w:color w:val="000000"/>
                <w:highlight w:val="none"/>
              </w:rPr>
              <w:t>10000-50000</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44F07A0">
            <w:pPr>
              <w:jc w:val="center"/>
              <w:rPr>
                <w:rFonts w:hint="eastAsia" w:ascii="仿宋" w:hAnsi="仿宋" w:eastAsia="仿宋" w:cs="仿宋"/>
                <w:color w:val="000000"/>
                <w:highlight w:val="none"/>
              </w:rPr>
            </w:pPr>
            <w:r>
              <w:rPr>
                <w:rFonts w:hint="eastAsia" w:ascii="仿宋" w:hAnsi="仿宋" w:eastAsia="仿宋" w:cs="仿宋"/>
                <w:color w:val="000000"/>
                <w:highlight w:val="none"/>
              </w:rPr>
              <w:t>0.05%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771262B">
            <w:pPr>
              <w:jc w:val="center"/>
              <w:rPr>
                <w:rFonts w:hint="eastAsia" w:ascii="仿宋" w:hAnsi="仿宋" w:eastAsia="仿宋" w:cs="仿宋"/>
                <w:color w:val="000000"/>
                <w:highlight w:val="none"/>
              </w:rPr>
            </w:pPr>
            <w:r>
              <w:rPr>
                <w:rFonts w:hint="eastAsia" w:ascii="仿宋" w:hAnsi="仿宋" w:eastAsia="仿宋" w:cs="仿宋"/>
                <w:color w:val="000000"/>
                <w:highlight w:val="none"/>
              </w:rPr>
              <w:t>0.05%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21FF5FE">
            <w:pPr>
              <w:jc w:val="center"/>
              <w:rPr>
                <w:rFonts w:hint="eastAsia" w:ascii="仿宋" w:hAnsi="仿宋" w:eastAsia="仿宋" w:cs="仿宋"/>
                <w:color w:val="000000"/>
                <w:highlight w:val="none"/>
              </w:rPr>
            </w:pPr>
            <w:r>
              <w:rPr>
                <w:rFonts w:hint="eastAsia" w:ascii="仿宋" w:hAnsi="仿宋" w:eastAsia="仿宋" w:cs="仿宋"/>
                <w:color w:val="000000"/>
                <w:highlight w:val="none"/>
              </w:rPr>
              <w:t>0.05%</w:t>
            </w:r>
          </w:p>
        </w:tc>
      </w:tr>
    </w:tbl>
    <w:p w14:paraId="0815126F">
      <w:pPr>
        <w:pStyle w:val="9"/>
        <w:spacing w:line="360" w:lineRule="auto"/>
        <w:ind w:firstLine="0" w:firstLineChars="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p>
    <w:p w14:paraId="2E664652">
      <w:pPr>
        <w:pStyle w:val="9"/>
        <w:spacing w:line="360" w:lineRule="auto"/>
        <w:ind w:firstLine="24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注：招标代理服务收费按差额定率累进法计算。</w:t>
      </w:r>
    </w:p>
    <w:p w14:paraId="1442DE00">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sz w:val="28"/>
          <w:szCs w:val="28"/>
          <w:highlight w:val="none"/>
        </w:rPr>
      </w:pPr>
    </w:p>
    <w:p w14:paraId="62285405"/>
    <w:sectPr>
      <w:footerReference r:id="rId11" w:type="default"/>
      <w:pgSz w:w="11910" w:h="16840"/>
      <w:pgMar w:top="1580" w:right="1200" w:bottom="1020" w:left="1300" w:header="0" w:footer="83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058C">
    <w:pPr>
      <w:pStyle w:val="7"/>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233A98D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19878">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533E4E">
                          <w:pPr>
                            <w:pStyle w:val="7"/>
                            <w:rPr>
                              <w:rStyle w:val="12"/>
                            </w:rPr>
                          </w:pPr>
                          <w:r>
                            <w:fldChar w:fldCharType="begin"/>
                          </w:r>
                          <w:r>
                            <w:rPr>
                              <w:rStyle w:val="12"/>
                            </w:rPr>
                            <w:instrText xml:space="preserve">PAGE  </w:instrText>
                          </w:r>
                          <w:r>
                            <w:fldChar w:fldCharType="separate"/>
                          </w:r>
                          <w:r>
                            <w:rPr>
                              <w:rStyle w:val="12"/>
                            </w:rP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533E4E">
                    <w:pPr>
                      <w:pStyle w:val="7"/>
                      <w:rPr>
                        <w:rStyle w:val="12"/>
                      </w:rPr>
                    </w:pPr>
                    <w:r>
                      <w:fldChar w:fldCharType="begin"/>
                    </w:r>
                    <w:r>
                      <w:rPr>
                        <w:rStyle w:val="12"/>
                      </w:rPr>
                      <w:instrText xml:space="preserve">PAGE  </w:instrText>
                    </w:r>
                    <w:r>
                      <w:fldChar w:fldCharType="separate"/>
                    </w:r>
                    <w:r>
                      <w:rPr>
                        <w:rStyle w:val="12"/>
                      </w:rP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DBD2">
    <w:pPr>
      <w:pStyle w:val="6"/>
      <w:spacing w:before="0" w:line="14" w:lineRule="auto"/>
      <w:rPr>
        <w:sz w:val="20"/>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F90C84">
                          <w:pPr>
                            <w:pStyle w:val="7"/>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EF90C84">
                    <w:pPr>
                      <w:pStyle w:val="7"/>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6511925</wp:posOffset>
              </wp:positionH>
              <wp:positionV relativeFrom="page">
                <wp:posOffset>10023475</wp:posOffset>
              </wp:positionV>
              <wp:extent cx="168910" cy="166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8910" cy="166370"/>
                      </a:xfrm>
                      <a:prstGeom prst="rect">
                        <a:avLst/>
                      </a:prstGeom>
                      <a:noFill/>
                      <a:ln>
                        <a:noFill/>
                      </a:ln>
                    </wps:spPr>
                    <wps:txbx>
                      <w:txbxContent>
                        <w:p w14:paraId="68FD9E2D">
                          <w:pPr>
                            <w:spacing w:before="11"/>
                            <w:ind w:left="40" w:right="0" w:firstLine="0"/>
                            <w:jc w:val="left"/>
                            <w:rPr>
                              <w:rFonts w:ascii="Times New Roman"/>
                              <w:sz w:val="20"/>
                            </w:rPr>
                          </w:pPr>
                        </w:p>
                      </w:txbxContent>
                    </wps:txbx>
                    <wps:bodyPr lIns="0" tIns="0" rIns="0" bIns="0" upright="1"/>
                  </wps:wsp>
                </a:graphicData>
              </a:graphic>
            </wp:anchor>
          </w:drawing>
        </mc:Choice>
        <mc:Fallback>
          <w:pict>
            <v:shape id="_x0000_s1026" o:spid="_x0000_s1026" o:spt="202" type="#_x0000_t202" style="position:absolute;left:0pt;margin-left:512.75pt;margin-top:789.25pt;height:13.1pt;width:13.3pt;mso-position-horizontal-relative:page;mso-position-vertical-relative:page;z-index:-251655168;mso-width-relative:page;mso-height-relative:page;" filled="f" stroked="f" coordsize="21600,21600" o:gfxdata="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t1QXbAAAADwEAAA8AAAAAAAAAAQAgAAAAIgAAAGRycy9kb3ducmV2LnhtbFBL&#10;AQIUABQAAAAIAIdO4kAUjRiwugEAAHEDAAAOAAAAAAAAAAEAIAAAACoBAABkcnMvZTJvRG9jLnht&#10;bFBLBQYAAAAABgAGAFkBAABWBQAAAAA=&#10;">
              <v:fill on="f" focussize="0,0"/>
              <v:stroke on="f"/>
              <v:imagedata o:title=""/>
              <o:lock v:ext="edit" aspectratio="f"/>
              <v:textbox inset="0mm,0mm,0mm,0mm">
                <w:txbxContent>
                  <w:p w14:paraId="68FD9E2D">
                    <w:pPr>
                      <w:spacing w:before="11"/>
                      <w:ind w:left="40" w:right="0" w:firstLine="0"/>
                      <w:jc w:val="left"/>
                      <w:rPr>
                        <w:rFonts w:ascii="Times New Roman"/>
                        <w:sz w:val="2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A7575">
    <w:pPr>
      <w:pStyle w:val="6"/>
      <w:spacing w:before="0"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887095</wp:posOffset>
              </wp:positionH>
              <wp:positionV relativeFrom="page">
                <wp:posOffset>10023475</wp:posOffset>
              </wp:positionV>
              <wp:extent cx="152400" cy="1663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52400" cy="166370"/>
                      </a:xfrm>
                      <a:prstGeom prst="rect">
                        <a:avLst/>
                      </a:prstGeom>
                      <a:noFill/>
                      <a:ln>
                        <a:noFill/>
                      </a:ln>
                    </wps:spPr>
                    <wps:txbx>
                      <w:txbxContent>
                        <w:p w14:paraId="15EADA38">
                          <w:pPr>
                            <w:spacing w:before="11"/>
                            <w:ind w:left="20" w:right="0" w:firstLine="0"/>
                            <w:jc w:val="left"/>
                            <w:rPr>
                              <w:rFonts w:ascii="Times New Roman"/>
                              <w:sz w:val="20"/>
                            </w:rPr>
                          </w:pPr>
                          <w:r>
                            <w:rPr>
                              <w:rFonts w:ascii="Times New Roman"/>
                              <w:color w:val="231F20"/>
                              <w:sz w:val="20"/>
                            </w:rPr>
                            <w:t>10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2pt;mso-position-horizontal-relative:page;mso-position-vertical-relative:page;z-index:-251655168;mso-width-relative:page;mso-height-relative:page;" filled="f" stroked="f" coordsize="21600,21600" o:gfxdata="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VnA2QAAAA0BAAAPAAAAAAAAAAEAIAAAACIAAABkcnMvZG93bnJldi54bWxQSwEC&#10;FAAUAAAACACHTuJAdDjKjroBAABxAwAADgAAAAAAAAABACAAAAAoAQAAZHJzL2Uyb0RvYy54bWxQ&#10;SwUGAAAAAAYABgBZAQAAVAUAAAAA&#10;">
              <v:fill on="f" focussize="0,0"/>
              <v:stroke on="f"/>
              <v:imagedata o:title=""/>
              <o:lock v:ext="edit" aspectratio="f"/>
              <v:textbox inset="0mm,0mm,0mm,0mm">
                <w:txbxContent>
                  <w:p w14:paraId="15EADA38">
                    <w:pPr>
                      <w:spacing w:before="11"/>
                      <w:ind w:left="20" w:right="0" w:firstLine="0"/>
                      <w:jc w:val="left"/>
                      <w:rPr>
                        <w:rFonts w:ascii="Times New Roman"/>
                        <w:sz w:val="20"/>
                      </w:rPr>
                    </w:pPr>
                    <w:r>
                      <w:rPr>
                        <w:rFonts w:ascii="Times New Roman"/>
                        <w:color w:val="231F20"/>
                        <w:sz w:val="20"/>
                      </w:rPr>
                      <w:t>10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C95F">
    <w:pPr>
      <w:pStyle w:val="6"/>
      <w:spacing w:before="0"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7800" cy="1663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wps:spPr>
                    <wps:txbx>
                      <w:txbxContent>
                        <w:p w14:paraId="0172C2CC">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13</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3.1pt;width:14pt;mso-position-horizontal:center;mso-position-horizontal-relative:margin;z-index:251661312;mso-width-relative:page;mso-height-relative:page;" filled="f" stroked="f" coordsize="21600,21600" o:gfxdata="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h6dIAAAADAQAADwAAAAAAAAABACAAAAAiAAAAZHJzL2Rvd25yZXYueG1sUEsBAhQAFAAAAAgA&#10;h07iQE3C8Ni5AQAAcQMAAA4AAAAAAAAAAQAgAAAAIQEAAGRycy9lMm9Eb2MueG1sUEsFBgAAAAAG&#10;AAYAWQEAAEwFAAAAAA==&#10;">
              <v:fill on="f" focussize="0,0"/>
              <v:stroke on="f"/>
              <v:imagedata o:title=""/>
              <o:lock v:ext="edit" aspectratio="f"/>
              <v:textbox inset="0mm,0mm,0mm,0mm">
                <w:txbxContent>
                  <w:p w14:paraId="0172C2CC">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913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5D9A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28C5A"/>
    <w:multiLevelType w:val="singleLevel"/>
    <w:tmpl w:val="97528C5A"/>
    <w:lvl w:ilvl="0" w:tentative="0">
      <w:start w:val="2"/>
      <w:numFmt w:val="chineseCounting"/>
      <w:suff w:val="nothing"/>
      <w:lvlText w:val="%1、"/>
      <w:lvlJc w:val="left"/>
      <w:rPr>
        <w:rFonts w:hint="eastAsia"/>
      </w:rPr>
    </w:lvl>
  </w:abstractNum>
  <w:abstractNum w:abstractNumId="1">
    <w:nsid w:val="B7E9B37E"/>
    <w:multiLevelType w:val="singleLevel"/>
    <w:tmpl w:val="B7E9B37E"/>
    <w:lvl w:ilvl="0" w:tentative="0">
      <w:start w:val="1"/>
      <w:numFmt w:val="decimal"/>
      <w:suff w:val="nothing"/>
      <w:lvlText w:val="（%1）"/>
      <w:lvlJc w:val="left"/>
    </w:lvl>
  </w:abstractNum>
  <w:abstractNum w:abstractNumId="2">
    <w:nsid w:val="DEE278A1"/>
    <w:multiLevelType w:val="singleLevel"/>
    <w:tmpl w:val="DEE278A1"/>
    <w:lvl w:ilvl="0" w:tentative="0">
      <w:start w:val="1"/>
      <w:numFmt w:val="decimal"/>
      <w:suff w:val="nothing"/>
      <w:lvlText w:val="（%1）"/>
      <w:lvlJc w:val="left"/>
    </w:lvl>
  </w:abstractNum>
  <w:abstractNum w:abstractNumId="3">
    <w:nsid w:val="F94D7ED0"/>
    <w:multiLevelType w:val="multilevel"/>
    <w:tmpl w:val="F94D7ED0"/>
    <w:lvl w:ilvl="0" w:tentative="0">
      <w:start w:val="1"/>
      <w:numFmt w:val="decimal"/>
      <w:suff w:val="nothing"/>
      <w:lvlText w:val="%1."/>
      <w:lvlJc w:val="left"/>
      <w:pPr>
        <w:tabs>
          <w:tab w:val="left" w:pos="420"/>
        </w:tabs>
        <w:ind w:left="0" w:leftChars="0" w:firstLine="567" w:firstLineChars="0"/>
      </w:pPr>
      <w:rPr>
        <w:rFonts w:hint="default" w:ascii="仿宋" w:hAnsi="仿宋" w:eastAsia="仿宋" w:cs="仿宋"/>
        <w:sz w:val="28"/>
        <w:szCs w:val="28"/>
      </w:rPr>
    </w:lvl>
    <w:lvl w:ilvl="1" w:tentative="0">
      <w:start w:val="1"/>
      <w:numFmt w:val="decimal"/>
      <w:suff w:val="nothing"/>
      <w:lvlText w:val="%1.%2."/>
      <w:lvlJc w:val="left"/>
      <w:pPr>
        <w:tabs>
          <w:tab w:val="left" w:pos="420"/>
        </w:tabs>
        <w:ind w:left="0" w:leftChars="0" w:firstLine="567" w:firstLineChars="0"/>
      </w:pPr>
      <w:rPr>
        <w:rFonts w:hint="default" w:ascii="仿宋" w:hAnsi="仿宋" w:eastAsia="仿宋" w:cs="仿宋"/>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E99C578"/>
    <w:multiLevelType w:val="singleLevel"/>
    <w:tmpl w:val="0E99C578"/>
    <w:lvl w:ilvl="0" w:tentative="0">
      <w:start w:val="1"/>
      <w:numFmt w:val="decimal"/>
      <w:suff w:val="nothing"/>
      <w:lvlText w:val="（%1）"/>
      <w:lvlJc w:val="left"/>
    </w:lvl>
  </w:abstractNum>
  <w:abstractNum w:abstractNumId="5">
    <w:nsid w:val="120ACD54"/>
    <w:multiLevelType w:val="multilevel"/>
    <w:tmpl w:val="120ACD54"/>
    <w:lvl w:ilvl="0" w:tentative="0">
      <w:start w:val="1"/>
      <w:numFmt w:val="decimal"/>
      <w:suff w:val="nothing"/>
      <w:lvlText w:val="%1."/>
      <w:lvlJc w:val="left"/>
      <w:pPr>
        <w:tabs>
          <w:tab w:val="left" w:pos="0"/>
        </w:tabs>
        <w:ind w:left="0" w:leftChars="0" w:firstLine="567" w:firstLineChars="0"/>
      </w:pPr>
      <w:rPr>
        <w:rFonts w:hint="default"/>
      </w:rPr>
    </w:lvl>
    <w:lvl w:ilvl="1" w:tentative="0">
      <w:start w:val="1"/>
      <w:numFmt w:val="decimal"/>
      <w:suff w:val="space"/>
      <w:lvlText w:val="%1.%2"/>
      <w:lvlJc w:val="left"/>
      <w:pPr>
        <w:tabs>
          <w:tab w:val="left" w:pos="420"/>
        </w:tabs>
        <w:ind w:left="0" w:leftChars="0" w:firstLine="567" w:firstLineChars="0"/>
      </w:pPr>
      <w:rPr>
        <w:rFonts w:hint="default" w:ascii="仿宋" w:hAnsi="仿宋" w:eastAsia="仿宋" w:cs="仿宋"/>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1A82DE79"/>
    <w:multiLevelType w:val="singleLevel"/>
    <w:tmpl w:val="1A82DE79"/>
    <w:lvl w:ilvl="0" w:tentative="0">
      <w:start w:val="1"/>
      <w:numFmt w:val="decimal"/>
      <w:suff w:val="nothing"/>
      <w:lvlText w:val="（%1）"/>
      <w:lvlJc w:val="left"/>
    </w:lvl>
  </w:abstractNum>
  <w:abstractNum w:abstractNumId="7">
    <w:nsid w:val="6DAC4EFF"/>
    <w:multiLevelType w:val="singleLevel"/>
    <w:tmpl w:val="6DAC4EFF"/>
    <w:lvl w:ilvl="0" w:tentative="0">
      <w:start w:val="1"/>
      <w:numFmt w:val="decimal"/>
      <w:suff w:val="nothing"/>
      <w:lvlText w:val="（%1）"/>
      <w:lvlJc w:val="left"/>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EF3138"/>
    <w:rsid w:val="4B9C16AC"/>
    <w:rsid w:val="5E64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3">
    <w:name w:val="heading 1"/>
    <w:basedOn w:val="1"/>
    <w:next w:val="1"/>
    <w:qFormat/>
    <w:uiPriority w:val="1"/>
    <w:pPr>
      <w:spacing w:before="154"/>
      <w:jc w:val="center"/>
      <w:outlineLvl w:val="1"/>
    </w:pPr>
    <w:rPr>
      <w:rFonts w:ascii="方正黑体_GBK" w:hAnsi="方正黑体_GBK" w:eastAsia="方正黑体_GBK" w:cs="方正黑体_GBK"/>
      <w:sz w:val="28"/>
      <w:szCs w:val="28"/>
    </w:rPr>
  </w:style>
  <w:style w:type="paragraph" w:styleId="4">
    <w:name w:val="heading 2"/>
    <w:basedOn w:val="1"/>
    <w:next w:val="1"/>
    <w:qFormat/>
    <w:uiPriority w:val="1"/>
    <w:pPr>
      <w:spacing w:before="171"/>
      <w:ind w:left="557"/>
      <w:outlineLvl w:val="2"/>
    </w:pPr>
    <w:rPr>
      <w:rFonts w:ascii="方正小标宋_GBK" w:hAnsi="方正小标宋_GBK" w:eastAsia="方正小标宋_GBK" w:cs="方正小标宋_GBK"/>
      <w:sz w:val="24"/>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5">
    <w:name w:val="annotation text"/>
    <w:basedOn w:val="1"/>
    <w:qFormat/>
    <w:uiPriority w:val="0"/>
    <w:pPr>
      <w:jc w:val="left"/>
    </w:pPr>
  </w:style>
  <w:style w:type="paragraph" w:styleId="6">
    <w:name w:val="Body Text"/>
    <w:basedOn w:val="1"/>
    <w:qFormat/>
    <w:uiPriority w:val="1"/>
    <w:pPr>
      <w:spacing w:before="89"/>
    </w:pPr>
    <w:rPr>
      <w:rFonts w:ascii="方正书宋_GBK" w:hAnsi="方正书宋_GBK" w:eastAsia="方正书宋_GBK" w:cs="方正书宋_GBK"/>
      <w:sz w:val="22"/>
      <w:szCs w:val="22"/>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unhideWhenUsed/>
    <w:qFormat/>
    <w:uiPriority w:val="99"/>
    <w:pPr>
      <w:ind w:firstLine="420" w:firstLineChars="100"/>
    </w:pPr>
    <w:rPr>
      <w:rFonts w:ascii="Times New Roman" w:hAnsi="Times New Roman"/>
      <w:kern w:val="2"/>
      <w:sz w:val="21"/>
      <w:lang w:val="en-US" w:eastAsia="zh-CN"/>
    </w:rPr>
  </w:style>
  <w:style w:type="character" w:styleId="12">
    <w:name w:val="page number"/>
    <w:basedOn w:val="11"/>
    <w:qFormat/>
    <w:uiPriority w:val="0"/>
  </w:style>
  <w:style w:type="paragraph" w:styleId="13">
    <w:name w:val="List Paragraph"/>
    <w:basedOn w:val="1"/>
    <w:autoRedefine/>
    <w:qFormat/>
    <w:uiPriority w:val="1"/>
    <w:pPr>
      <w:spacing w:before="89"/>
      <w:ind w:left="117" w:firstLine="440"/>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8805</Words>
  <Characters>8993</Characters>
  <Lines>0</Lines>
  <Paragraphs>0</Paragraphs>
  <TotalTime>157</TotalTime>
  <ScaleCrop>false</ScaleCrop>
  <LinksUpToDate>false</LinksUpToDate>
  <CharactersWithSpaces>9338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2024-11-22T04:02:00Z</dcterms:created>
  <dc:creator>Administrator</dc:creator>
  <cp:lastModifiedBy>Administrator</cp:lastModifiedBy>
  <cp:lastPrinted>2024-11-22T08:26:28Z</cp:lastPrinted>
  <dcterms:modified xsi:type="dcterms:W3CDTF">2024-11-22T08:49:22Z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C34069D083C643A1B952A761514E36D4_12</vt:lpwstr>
  </property>
</Properties>
</file>