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rFonts w:ascii="方正小标宋简体" w:cs="方正小标宋简体" w:eastAsia="方正小标宋简体" w:hAnsi="方正小标宋简体" w:hint="default"/>
          <w:sz w:val="32"/>
          <w:szCs w:val="40"/>
          <w:lang w:val="en-US" w:eastAsia="zh-CN"/>
        </w:rPr>
      </w:pPr>
      <w:r>
        <w:rPr>
          <w:rFonts w:ascii="黑体" w:cs="黑体" w:eastAsia="黑体" w:hAnsi="黑体" w:hint="eastAsia"/>
          <w:sz w:val="32"/>
          <w:szCs w:val="40"/>
          <w:lang w:val="en-US" w:eastAsia="zh-CN"/>
        </w:rPr>
        <w:t>附件</w:t>
      </w:r>
      <w:r>
        <w:rPr>
          <w:rFonts w:ascii="黑体" w:cs="黑体" w:eastAsia="黑体" w:hAnsi="黑体" w:hint="default"/>
          <w:sz w:val="32"/>
          <w:szCs w:val="40"/>
          <w:lang w:val="en-US" w:eastAsia="zh-CN"/>
        </w:rPr>
        <w:t>4</w:t>
      </w:r>
    </w:p>
    <w:p>
      <w:pPr>
        <w:pStyle w:val="style0"/>
        <w:jc w:val="center"/>
        <w:rPr>
          <w:rFonts w:ascii="方正小标宋简体" w:cs="方正小标宋简体" w:eastAsia="方正小标宋简体" w:hAnsi="方正小标宋简体" w:hint="eastAsia"/>
          <w:sz w:val="32"/>
          <w:szCs w:val="40"/>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sz w:val="44"/>
          <w:szCs w:val="52"/>
        </w:rPr>
      </w:pPr>
      <w:r>
        <w:rPr>
          <w:rFonts w:ascii="方正小标宋简体" w:cs="方正小标宋简体" w:eastAsia="方正小标宋简体" w:hAnsi="方正小标宋简体" w:hint="eastAsia"/>
          <w:sz w:val="44"/>
          <w:szCs w:val="52"/>
          <w:lang w:eastAsia="zh-CN"/>
        </w:rPr>
        <w:t>湛江经济技术开发区</w:t>
      </w:r>
      <w:r>
        <w:rPr>
          <w:rFonts w:ascii="方正小标宋简体" w:cs="方正小标宋简体" w:eastAsia="方正小标宋简体" w:hAnsi="方正小标宋简体" w:hint="eastAsia"/>
          <w:sz w:val="44"/>
          <w:szCs w:val="52"/>
        </w:rPr>
        <w:t>非学科类校外培训机构</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sz w:val="44"/>
          <w:szCs w:val="52"/>
        </w:rPr>
      </w:pPr>
      <w:r>
        <w:rPr>
          <w:rFonts w:ascii="方正小标宋简体" w:cs="方正小标宋简体" w:eastAsia="方正小标宋简体" w:hAnsi="方正小标宋简体" w:hint="eastAsia"/>
          <w:sz w:val="44"/>
          <w:szCs w:val="52"/>
          <w:lang w:eastAsia="zh-CN"/>
        </w:rPr>
        <w:t>终止</w:t>
      </w:r>
      <w:r>
        <w:rPr>
          <w:rFonts w:ascii="方正小标宋简体" w:cs="方正小标宋简体" w:eastAsia="方正小标宋简体" w:hAnsi="方正小标宋简体" w:hint="eastAsia"/>
          <w:sz w:val="44"/>
          <w:szCs w:val="52"/>
        </w:rPr>
        <w:t>审批办事指南</w:t>
      </w:r>
    </w:p>
    <w:p>
      <w:pPr>
        <w:pStyle w:val="style0"/>
        <w:ind w:firstLine="640" w:firstLineChars="200"/>
        <w:rPr>
          <w:rFonts w:ascii="黑体" w:cs="黑体" w:eastAsia="黑体" w:hAnsi="黑体" w:hint="eastAsia"/>
          <w:sz w:val="32"/>
          <w:szCs w:val="40"/>
        </w:rPr>
      </w:pPr>
    </w:p>
    <w:p>
      <w:pPr>
        <w:pStyle w:val="style0"/>
        <w:ind w:firstLine="640" w:firstLineChars="200"/>
        <w:rPr>
          <w:rFonts w:ascii="黑体" w:cs="黑体" w:eastAsia="黑体" w:hAnsi="黑体" w:hint="eastAsia"/>
          <w:sz w:val="32"/>
          <w:szCs w:val="40"/>
        </w:rPr>
      </w:pPr>
      <w:r>
        <w:rPr>
          <w:rFonts w:ascii="黑体" w:cs="黑体" w:eastAsia="黑体" w:hAnsi="黑体" w:hint="eastAsia"/>
          <w:sz w:val="32"/>
          <w:szCs w:val="40"/>
        </w:rPr>
        <w:t>一、受理范围</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lang w:eastAsia="zh-CN"/>
        </w:rPr>
        <w:t>（一）</w:t>
      </w:r>
      <w:r>
        <w:rPr>
          <w:rFonts w:ascii="仿宋_GB2312" w:cs="仿宋_GB2312" w:eastAsia="仿宋_GB2312" w:hAnsi="仿宋_GB2312" w:hint="eastAsia"/>
          <w:sz w:val="32"/>
          <w:szCs w:val="40"/>
        </w:rPr>
        <w:t>具备非学科类</w:t>
      </w:r>
      <w:r>
        <w:rPr>
          <w:rFonts w:ascii="仿宋_GB2312" w:cs="仿宋_GB2312" w:eastAsia="仿宋_GB2312" w:hAnsi="仿宋_GB2312" w:hint="eastAsia"/>
          <w:sz w:val="32"/>
          <w:szCs w:val="40"/>
          <w:lang w:eastAsia="zh-CN"/>
        </w:rPr>
        <w:t>线下</w:t>
      </w:r>
      <w:r>
        <w:rPr>
          <w:rFonts w:ascii="仿宋_GB2312" w:cs="仿宋_GB2312" w:eastAsia="仿宋_GB2312" w:hAnsi="仿宋_GB2312" w:hint="eastAsia"/>
          <w:sz w:val="32"/>
          <w:szCs w:val="40"/>
        </w:rPr>
        <w:t>校外培训机构</w:t>
      </w:r>
      <w:r>
        <w:rPr>
          <w:rFonts w:ascii="仿宋_GB2312" w:cs="仿宋_GB2312" w:eastAsia="仿宋_GB2312" w:hAnsi="仿宋_GB2312" w:hint="eastAsia"/>
          <w:sz w:val="32"/>
          <w:szCs w:val="40"/>
          <w:lang w:eastAsia="zh-CN"/>
        </w:rPr>
        <w:t>终止</w:t>
      </w:r>
      <w:r>
        <w:rPr>
          <w:rFonts w:ascii="仿宋_GB2312" w:cs="仿宋_GB2312" w:eastAsia="仿宋_GB2312" w:hAnsi="仿宋_GB2312" w:hint="eastAsia"/>
          <w:sz w:val="32"/>
          <w:szCs w:val="40"/>
        </w:rPr>
        <w:t>审批申请条件的个人或企业。</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lang w:eastAsia="zh-CN"/>
        </w:rPr>
        <w:t>（二）</w:t>
      </w:r>
      <w:r>
        <w:rPr>
          <w:rFonts w:ascii="仿宋_GB2312" w:cs="仿宋_GB2312" w:eastAsia="仿宋_GB2312" w:hAnsi="仿宋_GB2312" w:hint="eastAsia"/>
          <w:sz w:val="32"/>
          <w:szCs w:val="40"/>
        </w:rPr>
        <w:t>符合下列全部条件，可提出申请：</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rPr>
        <w:t>根据《中华人民共和国民办教育促进法》， 民办学校有下列情形之一的，应当终止：</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rPr>
        <w:t>（1）根据学校章程规定要求终止，并经审批机关批准的。</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rPr>
        <w:t>（2）被吊销办学许可证的。</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rPr>
        <w:t>（3）因资不抵债无法继续办学的。</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rPr>
        <w:t>（4）</w:t>
      </w:r>
      <w:r>
        <w:rPr>
          <w:rFonts w:ascii="仿宋_GB2312" w:cs="仿宋_GB2312" w:eastAsia="仿宋_GB2312" w:hAnsi="仿宋_GB2312" w:hint="eastAsia"/>
          <w:sz w:val="32"/>
          <w:szCs w:val="40"/>
          <w:lang w:eastAsia="zh-CN"/>
        </w:rPr>
        <w:t>非学科类校外培训机构</w:t>
      </w:r>
      <w:r>
        <w:rPr>
          <w:rFonts w:ascii="仿宋_GB2312" w:cs="仿宋_GB2312" w:eastAsia="仿宋_GB2312" w:hAnsi="仿宋_GB2312" w:hint="eastAsia"/>
          <w:sz w:val="32"/>
          <w:szCs w:val="40"/>
        </w:rPr>
        <w:t>已妥善安排学生就读并依法清算债权债务后，要求终止办学的。</w:t>
      </w:r>
    </w:p>
    <w:p>
      <w:pPr>
        <w:pStyle w:val="style0"/>
        <w:ind w:firstLine="640" w:firstLineChars="200"/>
        <w:rPr>
          <w:rFonts w:ascii="黑体" w:cs="黑体" w:eastAsia="黑体" w:hAnsi="黑体" w:hint="eastAsia"/>
          <w:sz w:val="32"/>
          <w:szCs w:val="40"/>
          <w:lang w:val="en-US" w:eastAsia="zh-CN"/>
        </w:rPr>
      </w:pPr>
      <w:r>
        <w:rPr>
          <w:rFonts w:ascii="黑体" w:cs="黑体" w:eastAsia="黑体" w:hAnsi="黑体" w:hint="eastAsia"/>
          <w:sz w:val="32"/>
          <w:szCs w:val="40"/>
          <w:lang w:val="en-US" w:eastAsia="zh-CN"/>
        </w:rPr>
        <w:t>二、实施机关</w:t>
      </w:r>
    </w:p>
    <w:p>
      <w:pPr>
        <w:pStyle w:val="style0"/>
        <w:ind w:firstLine="640" w:firstLineChars="200"/>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（一）本行政许可办理机关为：区县级或以上</w:t>
      </w:r>
      <w:r>
        <w:rPr>
          <w:rFonts w:ascii="仿宋_GB2312" w:cs="仿宋_GB2312" w:eastAsia="仿宋_GB2312" w:hAnsi="仿宋_GB2312" w:hint="eastAsia"/>
          <w:sz w:val="32"/>
          <w:szCs w:val="32"/>
          <w:lang w:eastAsia="zh-CN"/>
        </w:rPr>
        <w:t>科技、文化旅游、体育、</w:t>
      </w:r>
      <w:r>
        <w:rPr>
          <w:rFonts w:ascii="仿宋_GB2312" w:cs="仿宋_GB2312" w:eastAsia="仿宋_GB2312" w:hAnsi="仿宋_GB2312" w:hint="eastAsia"/>
          <w:sz w:val="32"/>
          <w:szCs w:val="40"/>
          <w:lang w:val="en-US" w:eastAsia="zh-CN"/>
        </w:rPr>
        <w:t>教育部门。</w:t>
      </w:r>
    </w:p>
    <w:p>
      <w:pPr>
        <w:pStyle w:val="style0"/>
        <w:ind w:firstLine="640" w:firstLineChars="200"/>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（二）权责划分：</w:t>
      </w:r>
    </w:p>
    <w:p>
      <w:pPr>
        <w:pStyle w:val="style0"/>
        <w:ind w:firstLine="640" w:firstLineChars="200"/>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1.利用非国家财政性经费，通过线下方式面向中小学在校学生，实施体育、文化艺术、科技等非学科类培训的校外培训机构，由属地县（市、区）行政审批局或者教育行政部门会同科技、文化旅游、体育行政部门受理申请及审批。</w:t>
      </w:r>
    </w:p>
    <w:p>
      <w:pPr>
        <w:pStyle w:val="style0"/>
        <w:ind w:firstLine="640" w:firstLineChars="200"/>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2.仅利用互联网技术实施线上非学科类培训活动的培训机构，由省教育厅会同相关部门受理设立申请及审核，实施审批。具体由省教育厅会同省直有关部门组织实施。</w:t>
      </w:r>
    </w:p>
    <w:p>
      <w:pPr>
        <w:pStyle w:val="style0"/>
        <w:ind w:firstLine="640" w:firstLineChars="200"/>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据此，本事项由湛江经济技术开发区教育局会同</w:t>
      </w:r>
      <w:r>
        <w:rPr>
          <w:rFonts w:ascii="仿宋_GB2312" w:cs="仿宋_GB2312" w:eastAsia="仿宋_GB2312" w:hAnsi="仿宋_GB2312" w:hint="eastAsia"/>
          <w:sz w:val="32"/>
          <w:szCs w:val="32"/>
          <w:lang w:eastAsia="zh-CN"/>
        </w:rPr>
        <w:t>区经济贸易和科技局、区旅游局</w:t>
      </w:r>
      <w:r>
        <w:rPr>
          <w:rFonts w:ascii="仿宋_GB2312" w:cs="仿宋_GB2312" w:eastAsia="仿宋_GB2312" w:hAnsi="仿宋_GB2312" w:hint="eastAsia"/>
          <w:sz w:val="32"/>
          <w:szCs w:val="40"/>
          <w:lang w:val="en-US" w:eastAsia="zh-CN"/>
        </w:rPr>
        <w:t xml:space="preserve">实施。 </w:t>
      </w:r>
    </w:p>
    <w:p>
      <w:pPr>
        <w:pStyle w:val="style0"/>
        <w:numPr>
          <w:ilvl w:val="0"/>
          <w:numId w:val="0"/>
        </w:numPr>
        <w:ind w:firstLine="640" w:firstLineChars="200"/>
        <w:rPr>
          <w:rFonts w:ascii="黑体" w:cs="黑体" w:eastAsia="黑体" w:hAnsi="黑体" w:hint="eastAsia"/>
          <w:sz w:val="32"/>
          <w:szCs w:val="40"/>
          <w:lang w:val="en-US" w:eastAsia="zh-CN"/>
        </w:rPr>
      </w:pPr>
      <w:r>
        <w:rPr>
          <w:rFonts w:ascii="黑体" w:cs="黑体" w:eastAsia="黑体" w:hAnsi="黑体" w:hint="eastAsia"/>
          <w:sz w:val="32"/>
          <w:szCs w:val="40"/>
          <w:lang w:val="en-US" w:eastAsia="zh-CN"/>
        </w:rPr>
        <w:t>三、终止依据</w:t>
      </w:r>
    </w:p>
    <w:tbl>
      <w:tblPr>
        <w:tblStyle w:val="style154"/>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60"/>
        <w:gridCol w:w="7830"/>
      </w:tblGrid>
      <w:tr>
        <w:trPr>
          <w:trHeight w:val="972" w:hRule="atLeast"/>
        </w:trPr>
        <w:tc>
          <w:tcPr>
            <w:tcW w:w="960" w:type="dxa"/>
            <w:tcBorders/>
          </w:tcPr>
          <w:p>
            <w:pPr>
              <w:pStyle w:val="style0"/>
              <w:bidi w:val="false"/>
              <w:rPr>
                <w:rFonts w:hint="eastAsia"/>
                <w:lang w:val="en-US" w:eastAsia="zh-CN"/>
              </w:rPr>
            </w:pPr>
          </w:p>
          <w:p>
            <w:pPr>
              <w:pStyle w:val="style0"/>
              <w:bidi w:val="false"/>
              <w:rPr>
                <w:rFonts w:hint="eastAsia"/>
                <w:lang w:val="en-US" w:eastAsia="zh-CN"/>
              </w:rPr>
            </w:pPr>
            <w:r>
              <w:rPr>
                <w:rFonts w:ascii="黑体" w:cs="黑体" w:eastAsia="黑体" w:hAnsi="黑体" w:hint="eastAsia"/>
                <w:sz w:val="24"/>
                <w:szCs w:val="32"/>
                <w:lang w:val="en-US" w:eastAsia="zh-CN"/>
              </w:rPr>
              <w:t>依  据</w:t>
            </w:r>
          </w:p>
          <w:p>
            <w:pPr>
              <w:pStyle w:val="style0"/>
              <w:bidi w:val="false"/>
              <w:jc w:val="left"/>
              <w:rPr>
                <w:rFonts w:hint="eastAsia"/>
                <w:lang w:val="en-US" w:eastAsia="zh-CN"/>
              </w:rPr>
            </w:pPr>
          </w:p>
        </w:tc>
        <w:tc>
          <w:tcPr>
            <w:tcW w:w="7830" w:type="dxa"/>
            <w:tcBorders/>
          </w:tcPr>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atLeast" w:line="400"/>
              <w:textAlignment w:val="auto"/>
              <w:rPr>
                <w:rFonts w:ascii="仿宋_GB2312" w:cs="仿宋_GB2312" w:eastAsia="仿宋_GB2312" w:hAnsi="仿宋_GB2312" w:hint="eastAsia"/>
                <w:sz w:val="24"/>
                <w:szCs w:val="32"/>
                <w:lang w:val="en-US" w:eastAsia="zh-CN"/>
              </w:rPr>
            </w:pPr>
            <w:r>
              <w:rPr>
                <w:rFonts w:ascii="仿宋_GB2312" w:cs="仿宋_GB2312" w:eastAsia="仿宋_GB2312" w:hAnsi="仿宋_GB2312" w:hint="eastAsia"/>
                <w:sz w:val="24"/>
                <w:szCs w:val="32"/>
                <w:lang w:val="en-US" w:eastAsia="zh-CN"/>
              </w:rPr>
              <w:t>《中华人民共和国民办教育促进法》</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400"/>
              <w:textAlignment w:val="auto"/>
              <w:rPr>
                <w:rFonts w:ascii="黑体" w:cs="黑体" w:eastAsia="黑体" w:hAnsi="黑体" w:hint="eastAsia"/>
                <w:sz w:val="32"/>
                <w:szCs w:val="40"/>
                <w:vertAlign w:val="baseline"/>
                <w:lang w:val="en-US" w:eastAsia="zh-CN"/>
              </w:rPr>
            </w:pPr>
            <w:r>
              <w:rPr>
                <w:rFonts w:ascii="仿宋_GB2312" w:cs="仿宋_GB2312" w:eastAsia="仿宋_GB2312" w:hAnsi="仿宋_GB2312" w:hint="eastAsia"/>
                <w:sz w:val="24"/>
                <w:szCs w:val="32"/>
                <w:lang w:val="en-US" w:eastAsia="zh-CN"/>
              </w:rPr>
              <w:t>2.《中华人民共和国民办教育促进法实施条例》</w:t>
            </w:r>
          </w:p>
        </w:tc>
      </w:tr>
    </w:tbl>
    <w:p>
      <w:pPr>
        <w:pStyle w:val="style0"/>
        <w:numPr>
          <w:ilvl w:val="0"/>
          <w:numId w:val="0"/>
        </w:numPr>
        <w:ind w:firstLine="640" w:firstLineChars="200"/>
        <w:rPr>
          <w:rFonts w:ascii="黑体" w:cs="黑体" w:eastAsia="黑体" w:hAnsi="黑体" w:hint="eastAsia"/>
          <w:sz w:val="32"/>
          <w:szCs w:val="40"/>
          <w:lang w:val="en-US" w:eastAsia="zh-CN"/>
        </w:rPr>
      </w:pPr>
      <w:r>
        <w:rPr>
          <w:rFonts w:ascii="黑体" w:cs="黑体" w:eastAsia="黑体" w:hAnsi="黑体" w:hint="eastAsia"/>
          <w:sz w:val="32"/>
          <w:szCs w:val="40"/>
          <w:lang w:val="en-US" w:eastAsia="zh-CN"/>
        </w:rPr>
        <w:t>四、申请材料</w:t>
      </w:r>
    </w:p>
    <w:p>
      <w:pPr>
        <w:pStyle w:val="style0"/>
        <w:numPr>
          <w:ilvl w:val="0"/>
          <w:numId w:val="0"/>
        </w:numPr>
        <w:ind w:firstLine="640" w:firstLineChars="200"/>
        <w:jc w:val="both"/>
        <w:rPr>
          <w:rFonts w:hint="eastAsia"/>
          <w:lang w:val="en-US" w:eastAsia="zh-CN"/>
        </w:rPr>
      </w:pPr>
      <w:r>
        <w:rPr>
          <w:rFonts w:ascii="仿宋_GB2312" w:cs="仿宋_GB2312" w:eastAsia="仿宋_GB2312" w:hAnsi="仿宋_GB2312" w:hint="eastAsia"/>
          <w:sz w:val="32"/>
          <w:szCs w:val="40"/>
          <w:lang w:val="en-US" w:eastAsia="zh-CN"/>
        </w:rPr>
        <w:t>申请终止培训机构的，应当向</w:t>
      </w:r>
      <w:r>
        <w:rPr>
          <w:rFonts w:ascii="仿宋_GB2312" w:cs="仿宋_GB2312" w:eastAsia="仿宋_GB2312" w:hAnsi="仿宋_GB2312" w:hint="eastAsia"/>
          <w:sz w:val="32"/>
          <w:szCs w:val="32"/>
          <w:lang w:eastAsia="zh-CN"/>
        </w:rPr>
        <w:t>区经济贸易和科技局（科技）、区旅游局（文化艺术、体育</w:t>
      </w:r>
      <w:bookmarkStart w:id="0" w:name="_GoBack"/>
      <w:bookmarkEnd w:id="0"/>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40"/>
          <w:lang w:val="en-US" w:eastAsia="zh-CN"/>
        </w:rPr>
        <w:t>提交下列材料：</w:t>
      </w:r>
    </w:p>
    <w:tbl>
      <w:tblPr>
        <w:tblStyle w:val="style154"/>
        <w:tblW w:w="4917"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61"/>
        <w:gridCol w:w="2583"/>
        <w:gridCol w:w="4278"/>
        <w:gridCol w:w="1115"/>
      </w:tblGrid>
      <w:tr>
        <w:trPr>
          <w:trHeight w:val="749" w:hRule="atLeast"/>
        </w:trPr>
        <w:tc>
          <w:tcPr>
            <w:tcW w:w="487"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z w:val="24"/>
                <w:szCs w:val="24"/>
                <w:vertAlign w:val="baseline"/>
                <w:lang w:val="en-US" w:eastAsia="zh-CN"/>
              </w:rPr>
            </w:pPr>
            <w:r>
              <w:rPr>
                <w:rFonts w:ascii="黑体" w:cs="黑体" w:eastAsia="黑体" w:hAnsi="黑体" w:hint="eastAsia"/>
                <w:b/>
                <w:bCs/>
                <w:sz w:val="24"/>
                <w:szCs w:val="24"/>
                <w:vertAlign w:val="baseline"/>
                <w:lang w:val="en-US" w:eastAsia="zh-CN"/>
              </w:rPr>
              <w:t>序号</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pacing w:val="-1"/>
                <w:sz w:val="24"/>
                <w:szCs w:val="24"/>
                <w:lang w:eastAsia="zh-CN"/>
              </w:rPr>
            </w:pPr>
            <w:r>
              <w:rPr>
                <w:rFonts w:ascii="黑体" w:cs="黑体" w:eastAsia="黑体" w:hAnsi="黑体" w:hint="eastAsia"/>
                <w:b/>
                <w:bCs/>
                <w:spacing w:val="-1"/>
                <w:sz w:val="24"/>
                <w:szCs w:val="24"/>
                <w:lang w:eastAsia="zh-CN"/>
              </w:rPr>
              <w:t>材料名称</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pacing w:val="-7"/>
                <w:sz w:val="24"/>
                <w:szCs w:val="24"/>
                <w:lang w:eastAsia="zh-CN"/>
              </w:rPr>
            </w:pPr>
            <w:r>
              <w:rPr>
                <w:rFonts w:ascii="黑体" w:cs="黑体" w:eastAsia="黑体" w:hAnsi="黑体" w:hint="eastAsia"/>
                <w:b/>
                <w:bCs/>
                <w:spacing w:val="-7"/>
                <w:sz w:val="24"/>
                <w:szCs w:val="24"/>
                <w:lang w:eastAsia="zh-CN"/>
              </w:rPr>
              <w:t>要求</w:t>
            </w:r>
          </w:p>
        </w:tc>
        <w:tc>
          <w:tcPr>
            <w:tcW w:w="63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z w:val="24"/>
                <w:szCs w:val="24"/>
                <w:vertAlign w:val="baseline"/>
                <w:lang w:val="en-US" w:eastAsia="zh-CN"/>
              </w:rPr>
            </w:pPr>
            <w:r>
              <w:rPr>
                <w:rFonts w:ascii="黑体" w:cs="黑体" w:eastAsia="黑体" w:hAnsi="黑体" w:hint="eastAsia"/>
                <w:b/>
                <w:bCs/>
                <w:sz w:val="24"/>
                <w:szCs w:val="24"/>
                <w:vertAlign w:val="baseline"/>
                <w:lang w:val="en-US" w:eastAsia="zh-CN"/>
              </w:rPr>
              <w:t>范本</w:t>
            </w:r>
          </w:p>
        </w:tc>
      </w:tr>
      <w:tr>
        <w:tblPrEx/>
        <w:trPr>
          <w:trHeight w:val="749" w:hRule="atLeast"/>
        </w:trPr>
        <w:tc>
          <w:tcPr>
            <w:tcW w:w="487"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1</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办学许可证注销申请表</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按表格要求如实填写并签章。</w:t>
            </w:r>
          </w:p>
        </w:tc>
        <w:tc>
          <w:tcPr>
            <w:tcW w:w="63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范本1</w:t>
            </w:r>
          </w:p>
        </w:tc>
      </w:tr>
      <w:tr>
        <w:tblPrEx/>
        <w:trPr>
          <w:trHeight w:val="749" w:hRule="atLeast"/>
        </w:trPr>
        <w:tc>
          <w:tcPr>
            <w:tcW w:w="487"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2</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终止办学申请书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eastAsia="zh-CN"/>
              </w:rPr>
              <w:t>签章</w:t>
            </w:r>
          </w:p>
        </w:tc>
        <w:tc>
          <w:tcPr>
            <w:tcW w:w="63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范本2</w:t>
            </w:r>
          </w:p>
        </w:tc>
      </w:tr>
      <w:tr>
        <w:tblPrEx/>
        <w:trPr>
          <w:trHeight w:val="749" w:hRule="atLeast"/>
        </w:trPr>
        <w:tc>
          <w:tcPr>
            <w:tcW w:w="487"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3</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终止经营事项申请表</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eastAsia="zh-CN"/>
              </w:rPr>
              <w:t>签章</w:t>
            </w:r>
          </w:p>
        </w:tc>
        <w:tc>
          <w:tcPr>
            <w:tcW w:w="63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范本3</w:t>
            </w:r>
          </w:p>
        </w:tc>
      </w:tr>
      <w:tr>
        <w:tblPrEx/>
        <w:trPr>
          <w:trHeight w:val="913" w:hRule="atLeast"/>
        </w:trPr>
        <w:tc>
          <w:tcPr>
            <w:tcW w:w="487" w:type="pct"/>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hint="eastAsia"/>
                <w:lang w:val="en-US" w:eastAsia="zh-CN"/>
              </w:rPr>
            </w:pPr>
            <w:r>
              <w:rPr>
                <w:rFonts w:ascii="仿宋_GB2312" w:cs="仿宋_GB2312" w:eastAsia="仿宋_GB2312" w:hAnsi="仿宋_GB2312" w:hint="eastAsia"/>
                <w:sz w:val="24"/>
                <w:szCs w:val="24"/>
                <w:lang w:val="en-US" w:eastAsia="zh-CN"/>
              </w:rPr>
              <w:t>4</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具有法律效力的财务清算审计报告</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民办学校自己要求终止的，由民办学校组织清算；被审批机关依法撤销的，由审批机关组织清算；因资不抵债无法继续办学而被终止的，由人民法院组织清算。</w:t>
            </w:r>
          </w:p>
        </w:tc>
        <w:tc>
          <w:tcPr>
            <w:tcW w:w="63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913" w:hRule="atLeast"/>
        </w:trPr>
        <w:tc>
          <w:tcPr>
            <w:tcW w:w="487" w:type="pct"/>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5</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lang w:eastAsia="zh-CN"/>
              </w:rPr>
              <w:t>承诺书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p>
        </w:tc>
        <w:tc>
          <w:tcPr>
            <w:tcW w:w="63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范本4</w:t>
            </w:r>
          </w:p>
        </w:tc>
      </w:tr>
      <w:tr>
        <w:tblPrEx/>
        <w:trPr>
          <w:trHeight w:val="1302" w:hRule="atLeast"/>
        </w:trPr>
        <w:tc>
          <w:tcPr>
            <w:tcW w:w="487"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6</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教职工花名册</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教职工花名册</w:t>
            </w:r>
            <w:r>
              <w:rPr>
                <w:rFonts w:ascii="仿宋_GB2312" w:cs="仿宋_GB2312" w:eastAsia="仿宋_GB2312" w:hAnsi="仿宋_GB2312" w:hint="eastAsia"/>
                <w:sz w:val="24"/>
                <w:szCs w:val="24"/>
                <w:lang w:eastAsia="zh-CN"/>
              </w:rPr>
              <w:t>，签章</w:t>
            </w:r>
          </w:p>
        </w:tc>
        <w:tc>
          <w:tcPr>
            <w:tcW w:w="63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hint="eastAsia"/>
                <w:lang w:val="en-US" w:eastAsia="zh-CN"/>
              </w:rPr>
            </w:pPr>
          </w:p>
        </w:tc>
      </w:tr>
      <w:tr>
        <w:tblPrEx/>
        <w:trPr>
          <w:trHeight w:val="749" w:hRule="atLeast"/>
        </w:trPr>
        <w:tc>
          <w:tcPr>
            <w:tcW w:w="487"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7</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教职工离职声明</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 xml:space="preserve"> 本人签名按手印、粘贴身份证复印件、单位盖章</w:t>
            </w:r>
            <w:r>
              <w:rPr>
                <w:rFonts w:ascii="仿宋_GB2312" w:cs="仿宋_GB2312" w:eastAsia="仿宋_GB2312" w:hAnsi="仿宋_GB2312" w:hint="eastAsia"/>
                <w:sz w:val="24"/>
                <w:szCs w:val="24"/>
                <w:lang w:eastAsia="zh-CN"/>
              </w:rPr>
              <w:t>；</w:t>
            </w:r>
          </w:p>
        </w:tc>
        <w:tc>
          <w:tcPr>
            <w:tcW w:w="63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范本5</w:t>
            </w:r>
          </w:p>
        </w:tc>
      </w:tr>
      <w:tr>
        <w:tblPrEx/>
        <w:trPr>
          <w:trHeight w:val="749" w:hRule="atLeast"/>
        </w:trPr>
        <w:tc>
          <w:tcPr>
            <w:tcW w:w="487"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8</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借出公章、财务章的借条</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办学终止后需收回该单位的公章、财务章，由于办理其他业务终止手续需用到上述两章，故可借出</w:t>
            </w:r>
            <w:r>
              <w:rPr>
                <w:rFonts w:ascii="仿宋_GB2312" w:cs="仿宋_GB2312" w:eastAsia="仿宋_GB2312" w:hAnsi="仿宋_GB2312" w:hint="eastAsia"/>
                <w:sz w:val="24"/>
                <w:szCs w:val="24"/>
                <w:lang w:eastAsia="zh-CN"/>
              </w:rPr>
              <w:t>。</w:t>
            </w:r>
          </w:p>
        </w:tc>
        <w:tc>
          <w:tcPr>
            <w:tcW w:w="63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范本6</w:t>
            </w:r>
          </w:p>
        </w:tc>
      </w:tr>
      <w:tr>
        <w:tblPrEx/>
        <w:trPr>
          <w:trHeight w:val="749" w:hRule="atLeast"/>
        </w:trPr>
        <w:tc>
          <w:tcPr>
            <w:tcW w:w="487"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9</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董事会（理事会）同意终止办学决议书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eastAsia="zh-CN"/>
              </w:rPr>
              <w:t>签章</w:t>
            </w:r>
          </w:p>
        </w:tc>
        <w:tc>
          <w:tcPr>
            <w:tcW w:w="63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范本7</w:t>
            </w:r>
          </w:p>
        </w:tc>
      </w:tr>
      <w:tr>
        <w:tblPrEx/>
        <w:trPr>
          <w:trHeight w:val="749" w:hRule="atLeast"/>
        </w:trPr>
        <w:tc>
          <w:tcPr>
            <w:tcW w:w="487"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10</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授权委托书</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凡申请企业申报材料时，办理人员不是法定代表人或企业负责人本人，需提交《授权委托书》、委托人及被委托人身份证复印件；</w:t>
            </w:r>
          </w:p>
        </w:tc>
        <w:tc>
          <w:tcPr>
            <w:tcW w:w="63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7"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11</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办学许可证正、副本</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上交由教育局颁发的办学许可证正副本原件；</w:t>
            </w:r>
          </w:p>
        </w:tc>
        <w:tc>
          <w:tcPr>
            <w:tcW w:w="63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487"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12</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lang w:eastAsia="zh-CN"/>
              </w:rPr>
              <w:t>印章</w:t>
            </w:r>
          </w:p>
        </w:tc>
        <w:tc>
          <w:tcPr>
            <w:tcW w:w="2419"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lang w:eastAsia="zh-CN"/>
              </w:rPr>
              <w:t>由审批机关收回印章。</w:t>
            </w:r>
          </w:p>
        </w:tc>
        <w:tc>
          <w:tcPr>
            <w:tcW w:w="63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5000" w:type="pct"/>
            <w:gridSpan w:val="4"/>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黑体" w:cs="黑体" w:eastAsia="黑体" w:hAnsi="黑体" w:hint="eastAsia"/>
                <w:sz w:val="24"/>
                <w:szCs w:val="24"/>
              </w:rPr>
            </w:pPr>
            <w:r>
              <w:rPr>
                <w:rFonts w:ascii="黑体" w:cs="黑体" w:eastAsia="黑体" w:hAnsi="黑体" w:hint="eastAsia"/>
                <w:sz w:val="24"/>
                <w:szCs w:val="24"/>
              </w:rPr>
              <w:t>备注：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一、所有提交材料一式三份，所有内容须真实无误。</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二、填写内容字迹要清晰、工整，若手写，请用黑色签字笔填写。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三、材料中的时间、电话号码一律用阿拉伯数字填写。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四、申请人提交材料为复印件的，复印件必须清晰、印鉴齐全、内容齐全、字迹清晰，需申请人在所有复印件上签章，并在提交材料时带上原件进行核对。</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五、如代理人代办，则需提供代理人有效身份证件复印件以及授权委托书</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举办者盖章、法定代表人签名</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w:t>
            </w:r>
          </w:p>
        </w:tc>
      </w:tr>
    </w:tbl>
    <w:p>
      <w:pPr>
        <w:pStyle w:val="style0"/>
        <w:keepNext w:val="false"/>
        <w:keepLines w:val="false"/>
        <w:pageBreakBefore w:val="false"/>
        <w:widowControl/>
        <w:kinsoku/>
        <w:wordWrap/>
        <w:overflowPunct/>
        <w:topLinePunct w:val="false"/>
        <w:autoSpaceDE/>
        <w:autoSpaceDN/>
        <w:adjustRightInd/>
        <w:snapToGrid/>
        <w:spacing w:lineRule="auto" w:line="240"/>
        <w:ind w:firstLine="0" w:firstLineChars="0"/>
        <w:textAlignment w:val="auto"/>
        <w:outlineLvl w:val="2"/>
        <w:rPr>
          <w:rFonts w:ascii="黑体" w:eastAsia="黑体" w:hAnsi="黑体" w:hint="default"/>
          <w:sz w:val="32"/>
          <w:szCs w:val="32"/>
        </w:rPr>
      </w:pPr>
      <w:r>
        <w:rPr>
          <w:rFonts w:ascii="黑体" w:eastAsia="黑体" w:hAnsi="黑体" w:hint="eastAsia"/>
          <w:sz w:val="32"/>
          <w:szCs w:val="32"/>
          <w:lang w:eastAsia="zh-CN"/>
        </w:rPr>
        <w:t>五</w:t>
      </w:r>
      <w:r>
        <w:rPr>
          <w:rFonts w:ascii="黑体" w:eastAsia="黑体" w:hAnsi="黑体" w:hint="eastAsia"/>
          <w:sz w:val="32"/>
          <w:szCs w:val="32"/>
        </w:rPr>
        <w:t>、办理时限</w:t>
      </w:r>
    </w:p>
    <w:tbl>
      <w:tblPr>
        <w:tblStyle w:val="style105"/>
        <w:tblW w:w="8888" w:type="dxa"/>
        <w:tblInd w:w="-33" w:type="dxa"/>
        <w:tblLayout w:type="fixed"/>
        <w:tblCellMar>
          <w:top w:w="0" w:type="dxa"/>
          <w:left w:w="0" w:type="dxa"/>
          <w:bottom w:w="0" w:type="dxa"/>
          <w:right w:w="0" w:type="dxa"/>
        </w:tblCellMar>
      </w:tblPr>
      <w:tblGrid>
        <w:gridCol w:w="1562"/>
        <w:gridCol w:w="1341"/>
        <w:gridCol w:w="1560"/>
        <w:gridCol w:w="4425"/>
      </w:tblGrid>
      <w:tr>
        <w:trPr>
          <w:trHeight w:val="483" w:hRule="atLeast"/>
        </w:trPr>
        <w:tc>
          <w:tcPr>
            <w:tcW w:w="1562" w:type="dxa"/>
            <w:tcBorders>
              <w:top w:val="single" w:sz="4" w:space="0" w:color="auto"/>
              <w:left w:val="single" w:sz="4" w:space="0" w:color="auto"/>
              <w:bottom w:val="single" w:sz="4" w:space="0" w:color="auto"/>
              <w:right w:val="single" w:sz="4" w:space="0" w:color="auto"/>
            </w:tcBorders>
            <w:shd w:val="clear" w:color="auto" w:fill="auto"/>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黑体" w:cs="黑体" w:eastAsia="黑体" w:hAnsi="黑体" w:hint="eastAsia"/>
                <w:b/>
                <w:sz w:val="24"/>
                <w:szCs w:val="24"/>
              </w:rPr>
            </w:pPr>
            <w:r>
              <w:rPr>
                <w:rFonts w:ascii="黑体" w:cs="黑体" w:eastAsia="黑体" w:hAnsi="黑体" w:hint="eastAsia"/>
                <w:b/>
                <w:sz w:val="24"/>
                <w:szCs w:val="24"/>
              </w:rPr>
              <w:t>申请时限</w:t>
            </w:r>
          </w:p>
        </w:tc>
        <w:tc>
          <w:tcPr>
            <w:tcW w:w="7326" w:type="dxa"/>
            <w:gridSpan w:val="3"/>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无。</w:t>
            </w:r>
          </w:p>
        </w:tc>
      </w:tr>
      <w:tr>
        <w:tblPrEx/>
        <w:trPr>
          <w:trHeight w:val="450" w:hRule="atLeast"/>
        </w:trPr>
        <w:tc>
          <w:tcPr>
            <w:tcW w:w="1562" w:type="dxa"/>
            <w:tcBorders>
              <w:top w:val="single" w:sz="4" w:space="0" w:color="auto"/>
              <w:left w:val="single" w:sz="4" w:space="0" w:color="auto"/>
              <w:bottom w:val="single" w:sz="4" w:space="0" w:color="auto"/>
              <w:right w:val="single" w:sz="4" w:space="0" w:color="auto"/>
            </w:tcBorders>
            <w:shd w:val="clear" w:color="auto" w:fill="auto"/>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黑体" w:cs="黑体" w:eastAsia="黑体" w:hAnsi="黑体" w:hint="eastAsia"/>
                <w:b/>
                <w:sz w:val="24"/>
                <w:szCs w:val="24"/>
              </w:rPr>
            </w:pPr>
            <w:r>
              <w:rPr>
                <w:rFonts w:ascii="黑体" w:cs="黑体" w:eastAsia="黑体" w:hAnsi="黑体" w:hint="eastAsia"/>
                <w:b/>
                <w:sz w:val="24"/>
                <w:szCs w:val="24"/>
              </w:rPr>
              <w:t>受理时限</w:t>
            </w:r>
          </w:p>
        </w:tc>
        <w:tc>
          <w:tcPr>
            <w:tcW w:w="1341"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 xml:space="preserve">5个工作日            </w:t>
            </w:r>
          </w:p>
        </w:tc>
        <w:tc>
          <w:tcPr>
            <w:tcW w:w="1560" w:type="dxa"/>
            <w:tcBorders>
              <w:top w:val="single" w:sz="4" w:space="0" w:color="auto"/>
              <w:left w:val="nil"/>
              <w:bottom w:val="single" w:sz="4" w:space="0" w:color="auto"/>
              <w:right w:val="single" w:sz="4" w:space="0" w:color="auto"/>
            </w:tcBorders>
            <w:shd w:val="clear" w:color="auto" w:fill="auto"/>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both"/>
              <w:textAlignment w:val="auto"/>
              <w:rPr>
                <w:rFonts w:ascii="黑体" w:cs="黑体" w:eastAsia="黑体" w:hAnsi="黑体" w:hint="eastAsia"/>
                <w:b/>
                <w:sz w:val="24"/>
                <w:szCs w:val="24"/>
              </w:rPr>
            </w:pPr>
            <w:r>
              <w:rPr>
                <w:rFonts w:ascii="黑体" w:cs="黑体" w:eastAsia="黑体" w:hAnsi="黑体" w:hint="eastAsia"/>
                <w:b/>
                <w:sz w:val="24"/>
                <w:szCs w:val="24"/>
              </w:rPr>
              <w:t>受理时限说明</w:t>
            </w:r>
          </w:p>
        </w:tc>
        <w:tc>
          <w:tcPr>
            <w:tcW w:w="4425"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自接到申请之日起5个工作日内作出受理或不予受理决定</w:t>
            </w:r>
            <w:r>
              <w:rPr>
                <w:rFonts w:ascii="仿宋_GB2312" w:cs="仿宋_GB2312" w:eastAsia="仿宋_GB2312" w:hAnsi="仿宋_GB2312" w:hint="eastAsia"/>
                <w:sz w:val="24"/>
                <w:szCs w:val="24"/>
                <w:lang w:eastAsia="zh-CN"/>
              </w:rPr>
              <w:t>。</w:t>
            </w:r>
          </w:p>
        </w:tc>
      </w:tr>
      <w:tr>
        <w:tblPrEx/>
        <w:trPr>
          <w:trHeight w:val="1525" w:hRule="atLeast"/>
        </w:trPr>
        <w:tc>
          <w:tcPr>
            <w:tcW w:w="1562" w:type="dxa"/>
            <w:tcBorders>
              <w:top w:val="single" w:sz="4" w:space="0" w:color="auto"/>
              <w:left w:val="single" w:sz="4" w:space="0" w:color="auto"/>
              <w:bottom w:val="single" w:sz="4" w:space="0" w:color="auto"/>
              <w:right w:val="single" w:sz="4" w:space="0" w:color="auto"/>
            </w:tcBorders>
            <w:shd w:val="clear" w:color="auto" w:fill="auto"/>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黑体" w:cs="黑体" w:eastAsia="黑体" w:hAnsi="黑体" w:hint="eastAsia"/>
                <w:b/>
                <w:sz w:val="24"/>
                <w:szCs w:val="24"/>
              </w:rPr>
            </w:pPr>
            <w:r>
              <w:rPr>
                <w:rFonts w:ascii="黑体" w:cs="黑体" w:eastAsia="黑体" w:hAnsi="黑体" w:hint="eastAsia"/>
                <w:b/>
                <w:sz w:val="24"/>
                <w:szCs w:val="24"/>
              </w:rPr>
              <w:t>法定办理时限</w:t>
            </w:r>
          </w:p>
        </w:tc>
        <w:tc>
          <w:tcPr>
            <w:tcW w:w="1341"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val="en-US" w:eastAsia="zh-CN"/>
              </w:rPr>
              <w:t>20</w:t>
            </w:r>
            <w:r>
              <w:rPr>
                <w:rFonts w:ascii="仿宋_GB2312" w:cs="仿宋_GB2312" w:eastAsia="仿宋_GB2312" w:hAnsi="仿宋_GB2312" w:hint="eastAsia"/>
                <w:sz w:val="24"/>
                <w:szCs w:val="24"/>
              </w:rPr>
              <w:t xml:space="preserve">个自然日            </w:t>
            </w:r>
          </w:p>
        </w:tc>
        <w:tc>
          <w:tcPr>
            <w:tcW w:w="1560" w:type="dxa"/>
            <w:tcBorders>
              <w:top w:val="single" w:sz="4" w:space="0" w:color="auto"/>
              <w:left w:val="nil"/>
              <w:bottom w:val="single" w:sz="4" w:space="0" w:color="auto"/>
              <w:right w:val="single" w:sz="4" w:space="0" w:color="auto"/>
            </w:tcBorders>
            <w:shd w:val="clear" w:color="auto" w:fill="auto"/>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both"/>
              <w:textAlignment w:val="auto"/>
              <w:rPr>
                <w:rFonts w:ascii="黑体" w:cs="黑体" w:eastAsia="黑体" w:hAnsi="黑体" w:hint="eastAsia"/>
                <w:b/>
                <w:sz w:val="24"/>
                <w:szCs w:val="24"/>
              </w:rPr>
            </w:pPr>
            <w:r>
              <w:rPr>
                <w:rFonts w:ascii="黑体" w:cs="黑体" w:eastAsia="黑体" w:hAnsi="黑体" w:hint="eastAsia"/>
                <w:b/>
                <w:sz w:val="24"/>
                <w:szCs w:val="24"/>
              </w:rPr>
              <w:t>法定办理时限说明</w:t>
            </w:r>
          </w:p>
        </w:tc>
        <w:tc>
          <w:tcPr>
            <w:tcW w:w="4425"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法定时限由《中华人民共和国</w:t>
            </w:r>
            <w:r>
              <w:rPr>
                <w:rFonts w:ascii="仿宋_GB2312" w:cs="仿宋_GB2312" w:eastAsia="仿宋_GB2312" w:hAnsi="仿宋_GB2312" w:hint="eastAsia"/>
                <w:sz w:val="24"/>
                <w:szCs w:val="24"/>
                <w:lang w:val="en-US" w:eastAsia="zh-CN"/>
              </w:rPr>
              <w:t>行政许可法</w:t>
            </w:r>
            <w:r>
              <w:rPr>
                <w:rFonts w:ascii="仿宋_GB2312" w:cs="仿宋_GB2312" w:eastAsia="仿宋_GB2312" w:hAnsi="仿宋_GB2312" w:hint="eastAsia"/>
                <w:sz w:val="24"/>
                <w:szCs w:val="24"/>
              </w:rPr>
              <w:t>》第四十二条</w:t>
            </w:r>
            <w:r>
              <w:rPr>
                <w:rFonts w:ascii="仿宋_GB2312" w:cs="仿宋_GB2312" w:eastAsia="仿宋_GB2312" w:hAnsi="仿宋_GB2312" w:hint="eastAsia"/>
                <w:sz w:val="24"/>
                <w:szCs w:val="24"/>
                <w:lang w:val="en-US" w:eastAsia="zh-CN"/>
              </w:rPr>
              <w:t>规定，</w:t>
            </w:r>
            <w:r>
              <w:rPr>
                <w:rFonts w:ascii="仿宋_GB2312" w:cs="仿宋_GB2312" w:eastAsia="仿宋_GB2312" w:hAnsi="仿宋_GB2312" w:hint="eastAsia"/>
                <w:sz w:val="24"/>
                <w:szCs w:val="24"/>
              </w:rPr>
              <w:t xml:space="preserve">除可以当场作出行政许可决定的外，行政机关应当自受理行政许可申请之日起二十日内作出行政许可决定。            </w:t>
            </w:r>
          </w:p>
        </w:tc>
      </w:tr>
    </w:tbl>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jc w:val="both"/>
        <w:textAlignment w:val="auto"/>
        <w:rPr>
          <w:rFonts w:ascii="黑体" w:cs="黑体" w:eastAsia="黑体" w:hAnsi="黑体" w:hint="eastAsia"/>
          <w:sz w:val="32"/>
          <w:szCs w:val="32"/>
          <w:lang w:val="en-US" w:eastAsia="zh-CN"/>
        </w:rPr>
      </w:pPr>
      <w:r>
        <w:rPr>
          <w:rFonts w:ascii="黑体" w:cs="黑体" w:eastAsia="黑体" w:hAnsi="黑体" w:hint="eastAsia"/>
          <w:sz w:val="32"/>
          <w:szCs w:val="32"/>
          <w:lang w:val="en-US" w:eastAsia="zh-CN"/>
        </w:rPr>
        <w:t>六、审批流程</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eastAsia="仿宋_GB2312" w:hAnsi="Times New Roman" w:hint="default"/>
          <w:sz w:val="32"/>
          <w:szCs w:val="32"/>
        </w:rPr>
      </w:pPr>
      <w:r>
        <w:rPr>
          <w:rFonts w:ascii="Times New Roman" w:eastAsia="仿宋_GB2312" w:hAnsi="Times New Roman" w:hint="default"/>
          <w:sz w:val="32"/>
          <w:szCs w:val="32"/>
        </w:rPr>
        <w:t>培训机构举办者应当按照教育法律法规等规定进行</w:t>
      </w:r>
      <w:r>
        <w:rPr>
          <w:rFonts w:ascii="Times New Roman" w:eastAsia="仿宋_GB2312" w:hAnsi="Times New Roman" w:hint="eastAsia"/>
          <w:sz w:val="32"/>
          <w:szCs w:val="32"/>
          <w:lang w:eastAsia="zh-CN"/>
        </w:rPr>
        <w:t>终止</w:t>
      </w:r>
      <w:r>
        <w:rPr>
          <w:rFonts w:ascii="Times New Roman" w:eastAsia="仿宋_GB2312" w:hAnsi="Times New Roman" w:hint="default"/>
          <w:sz w:val="32"/>
          <w:szCs w:val="32"/>
        </w:rPr>
        <w:t>，符合相应条件的可以依法办理</w:t>
      </w:r>
      <w:r>
        <w:rPr>
          <w:rFonts w:ascii="Times New Roman" w:eastAsia="仿宋_GB2312" w:hAnsi="Times New Roman" w:hint="eastAsia"/>
          <w:sz w:val="32"/>
          <w:szCs w:val="32"/>
          <w:lang w:eastAsia="zh-CN"/>
        </w:rPr>
        <w:t>终止</w:t>
      </w:r>
      <w:r>
        <w:rPr>
          <w:rFonts w:ascii="Times New Roman" w:eastAsia="仿宋_GB2312" w:hAnsi="Times New Roman" w:hint="default"/>
          <w:sz w:val="32"/>
          <w:szCs w:val="32"/>
        </w:rPr>
        <w:t>手续：</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楷体_GB2312" w:hAnsi="Times New Roman" w:hint="default"/>
          <w:sz w:val="32"/>
          <w:szCs w:val="32"/>
        </w:rPr>
      </w:pPr>
      <w:r>
        <w:rPr>
          <w:rFonts w:ascii="Times New Roman" w:eastAsia="楷体_GB2312" w:hAnsi="Times New Roman" w:hint="default"/>
          <w:sz w:val="32"/>
          <w:szCs w:val="32"/>
        </w:rPr>
        <w:t>（一）</w:t>
      </w:r>
      <w:r>
        <w:rPr>
          <w:rFonts w:ascii="Times New Roman" w:eastAsia="楷体_GB2312" w:hAnsi="Times New Roman" w:hint="eastAsia"/>
          <w:sz w:val="32"/>
          <w:szCs w:val="32"/>
          <w:lang w:eastAsia="zh-CN"/>
        </w:rPr>
        <w:t>终止</w:t>
      </w:r>
      <w:r>
        <w:rPr>
          <w:rFonts w:ascii="Times New Roman" w:eastAsia="楷体_GB2312" w:hAnsi="Times New Roman" w:hint="default"/>
          <w:sz w:val="32"/>
          <w:szCs w:val="32"/>
        </w:rPr>
        <w:t>申请</w:t>
      </w:r>
    </w:p>
    <w:p>
      <w:pPr>
        <w:pStyle w:val="style0"/>
        <w:keepNext w:val="false"/>
        <w:keepLines w:val="false"/>
        <w:pageBreakBefore w:val="false"/>
        <w:widowControl w:val="false"/>
        <w:kinsoku/>
        <w:wordWrap/>
        <w:overflowPunct/>
        <w:topLinePunct w:val="false"/>
        <w:autoSpaceDE/>
        <w:autoSpaceDN/>
        <w:adjustRightInd/>
        <w:snapToGrid/>
        <w:spacing w:lineRule="exact" w:line="560"/>
        <w:ind w:firstLine="640" w:firstLineChars="200"/>
        <w:jc w:val="both"/>
        <w:textAlignment w:val="auto"/>
        <w:rPr>
          <w:rFonts w:ascii="Times New Roman" w:eastAsia="仿宋_GB2312" w:hAnsi="Times New Roman" w:hint="eastAsia"/>
          <w:sz w:val="32"/>
          <w:szCs w:val="32"/>
          <w:lang w:eastAsia="zh-CN"/>
        </w:rPr>
      </w:pPr>
      <w:r>
        <w:rPr>
          <w:rFonts w:ascii="Times New Roman" w:eastAsia="仿宋_GB2312" w:hAnsi="Times New Roman" w:hint="default"/>
          <w:sz w:val="32"/>
          <w:szCs w:val="32"/>
        </w:rPr>
        <w:t>申请</w:t>
      </w:r>
      <w:r>
        <w:rPr>
          <w:rFonts w:ascii="Times New Roman" w:eastAsia="仿宋_GB2312" w:hAnsi="Times New Roman" w:hint="eastAsia"/>
          <w:sz w:val="32"/>
          <w:szCs w:val="32"/>
          <w:lang w:eastAsia="zh-CN"/>
        </w:rPr>
        <w:t>终止</w:t>
      </w:r>
      <w:r>
        <w:rPr>
          <w:rFonts w:ascii="Times New Roman" w:eastAsia="仿宋_GB2312" w:hAnsi="Times New Roman" w:hint="default"/>
          <w:sz w:val="32"/>
          <w:szCs w:val="32"/>
        </w:rPr>
        <w:t>培训机构的，应当向</w:t>
      </w:r>
      <w:r>
        <w:rPr>
          <w:rFonts w:ascii="Times New Roman" w:eastAsia="仿宋_GB2312" w:hAnsi="Times New Roman" w:hint="eastAsia"/>
          <w:sz w:val="32"/>
          <w:szCs w:val="32"/>
          <w:lang w:eastAsia="zh-CN"/>
        </w:rPr>
        <w:t>区旅游局（文化艺术、体育）、区经济贸易和科技局（科技）</w:t>
      </w:r>
      <w:r>
        <w:rPr>
          <w:rFonts w:ascii="Times New Roman" w:eastAsia="仿宋_GB2312" w:hAnsi="Times New Roman" w:hint="default"/>
          <w:sz w:val="32"/>
          <w:szCs w:val="32"/>
        </w:rPr>
        <w:t>提交</w:t>
      </w:r>
      <w:r>
        <w:rPr>
          <w:rFonts w:ascii="Times New Roman" w:eastAsia="仿宋_GB2312" w:hAnsi="Times New Roman" w:hint="eastAsia"/>
          <w:sz w:val="32"/>
          <w:szCs w:val="32"/>
          <w:lang w:eastAsia="zh-CN"/>
        </w:rPr>
        <w:t>申请</w:t>
      </w:r>
      <w:r>
        <w:rPr>
          <w:rFonts w:ascii="Times New Roman" w:eastAsia="仿宋_GB2312" w:hAnsi="Times New Roman" w:hint="default"/>
          <w:sz w:val="32"/>
          <w:szCs w:val="32"/>
        </w:rPr>
        <w:t>材料</w:t>
      </w:r>
      <w:r>
        <w:rPr>
          <w:rFonts w:ascii="Times New Roman" w:eastAsia="仿宋_GB2312" w:hAnsi="Times New Roman" w:hint="eastAsia"/>
          <w:sz w:val="32"/>
          <w:szCs w:val="32"/>
          <w:lang w:eastAsia="zh-CN"/>
        </w:rPr>
        <w:t>。</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楷体_GB2312" w:hAnsi="Times New Roman" w:hint="default"/>
          <w:sz w:val="32"/>
          <w:szCs w:val="32"/>
        </w:rPr>
      </w:pPr>
      <w:r>
        <w:rPr>
          <w:rFonts w:ascii="Times New Roman" w:eastAsia="楷体_GB2312" w:hAnsi="Times New Roman" w:hint="default"/>
          <w:sz w:val="32"/>
          <w:szCs w:val="32"/>
        </w:rPr>
        <w:t>（</w:t>
      </w:r>
      <w:r>
        <w:rPr>
          <w:rFonts w:ascii="Times New Roman" w:eastAsia="楷体_GB2312" w:hAnsi="Times New Roman" w:hint="eastAsia"/>
          <w:sz w:val="32"/>
          <w:szCs w:val="32"/>
          <w:lang w:eastAsia="zh-CN"/>
        </w:rPr>
        <w:t>二</w:t>
      </w:r>
      <w:r>
        <w:rPr>
          <w:rFonts w:ascii="Times New Roman" w:eastAsia="楷体_GB2312" w:hAnsi="Times New Roman" w:hint="default"/>
          <w:sz w:val="32"/>
          <w:szCs w:val="32"/>
        </w:rPr>
        <w:t>）受理</w:t>
      </w:r>
    </w:p>
    <w:p>
      <w:pPr>
        <w:pStyle w:val="style0"/>
        <w:keepNext w:val="false"/>
        <w:keepLines w:val="false"/>
        <w:pageBreakBefore w:val="false"/>
        <w:kinsoku/>
        <w:wordWrap/>
        <w:overflowPunct/>
        <w:topLinePunct w:val="false"/>
        <w:autoSpaceDE/>
        <w:autoSpaceDN/>
        <w:adjustRightInd/>
        <w:snapToGrid/>
        <w:spacing w:lineRule="exact" w:line="560"/>
        <w:ind w:firstLine="640"/>
        <w:textAlignment w:val="auto"/>
        <w:rPr>
          <w:rFonts w:ascii="Times New Roman" w:eastAsia="仿宋_GB2312" w:hAnsi="Times New Roman" w:hint="default"/>
          <w:sz w:val="32"/>
          <w:szCs w:val="32"/>
        </w:rPr>
      </w:pPr>
      <w:r>
        <w:rPr>
          <w:rFonts w:ascii="Times New Roman" w:eastAsia="仿宋_GB2312" w:hAnsi="Times New Roman" w:hint="default"/>
          <w:sz w:val="32"/>
          <w:szCs w:val="32"/>
        </w:rPr>
        <w:t>举办者按照要求提交申请材料。申请材料齐全、符合</w:t>
      </w:r>
      <w:r>
        <w:rPr>
          <w:rFonts w:ascii="Times New Roman" w:eastAsia="仿宋_GB2312" w:hAnsi="Times New Roman" w:hint="eastAsia"/>
          <w:sz w:val="32"/>
          <w:szCs w:val="32"/>
        </w:rPr>
        <w:t>法</w:t>
      </w:r>
      <w:r>
        <w:rPr>
          <w:rFonts w:ascii="Times New Roman" w:eastAsia="仿宋_GB2312" w:hAnsi="Times New Roman" w:hint="default"/>
          <w:sz w:val="32"/>
          <w:szCs w:val="32"/>
        </w:rPr>
        <w:t>定形式的，</w:t>
      </w:r>
      <w:r>
        <w:rPr>
          <w:rFonts w:ascii="Times New Roman" w:eastAsia="仿宋_GB2312" w:hAnsi="Times New Roman" w:hint="eastAsia"/>
          <w:sz w:val="32"/>
          <w:szCs w:val="32"/>
          <w:lang w:eastAsia="zh-CN"/>
        </w:rPr>
        <w:t>区旅游局（文化艺术、体育）、区经济贸易和科技局（科技）</w:t>
      </w:r>
      <w:r>
        <w:rPr>
          <w:rFonts w:ascii="Times New Roman" w:eastAsia="仿宋_GB2312" w:hAnsi="Times New Roman" w:hint="default"/>
          <w:sz w:val="32"/>
          <w:szCs w:val="32"/>
        </w:rPr>
        <w:t>应依法在收到申请材料之日起的5个工作日内作出受理决定，并出具书面回执。</w:t>
      </w:r>
    </w:p>
    <w:p>
      <w:pPr>
        <w:pStyle w:val="style0"/>
        <w:keepNext w:val="false"/>
        <w:keepLines w:val="false"/>
        <w:pageBreakBefore w:val="false"/>
        <w:kinsoku/>
        <w:wordWrap/>
        <w:overflowPunct/>
        <w:topLinePunct w:val="false"/>
        <w:autoSpaceDE/>
        <w:autoSpaceDN/>
        <w:adjustRightInd/>
        <w:snapToGrid/>
        <w:spacing w:lineRule="exact" w:line="560"/>
        <w:ind w:firstLine="640"/>
        <w:textAlignment w:val="auto"/>
        <w:rPr>
          <w:rFonts w:ascii="Times New Roman" w:eastAsia="仿宋_GB2312" w:hAnsi="Times New Roman" w:hint="default"/>
          <w:sz w:val="32"/>
          <w:szCs w:val="32"/>
        </w:rPr>
      </w:pPr>
      <w:r>
        <w:rPr>
          <w:rFonts w:ascii="Times New Roman" w:eastAsia="仿宋_GB2312" w:hAnsi="Times New Roman" w:hint="default"/>
          <w:sz w:val="32"/>
          <w:szCs w:val="32"/>
        </w:rPr>
        <w:t>经审查，材料不全或不符合法定形式的，</w:t>
      </w:r>
      <w:r>
        <w:rPr>
          <w:rFonts w:ascii="Times New Roman" w:eastAsia="仿宋_GB2312" w:hAnsi="Times New Roman" w:hint="eastAsia"/>
          <w:sz w:val="32"/>
          <w:szCs w:val="32"/>
          <w:lang w:eastAsia="zh-CN"/>
        </w:rPr>
        <w:t>区旅游局（文化艺术、体育）、区经济贸易和科技局（科技）</w:t>
      </w:r>
      <w:r>
        <w:rPr>
          <w:rFonts w:ascii="Times New Roman" w:eastAsia="仿宋_GB2312" w:hAnsi="Times New Roman" w:hint="default"/>
          <w:sz w:val="32"/>
          <w:szCs w:val="32"/>
        </w:rPr>
        <w:t>在5个工作日内一次性告知申请人需补正的全部内容。举办者按照要求提交全部补正申请材料的，</w:t>
      </w:r>
      <w:r>
        <w:rPr>
          <w:rFonts w:ascii="Times New Roman" w:eastAsia="仿宋_GB2312" w:hAnsi="Times New Roman" w:hint="eastAsia"/>
          <w:sz w:val="32"/>
          <w:szCs w:val="32"/>
          <w:lang w:eastAsia="zh-CN"/>
        </w:rPr>
        <w:t>区旅游局（文化艺术、体育）、区经济贸易和科技局（科技）</w:t>
      </w:r>
      <w:r>
        <w:rPr>
          <w:rFonts w:ascii="Times New Roman" w:eastAsia="仿宋_GB2312" w:hAnsi="Times New Roman" w:hint="default"/>
          <w:sz w:val="32"/>
          <w:szCs w:val="32"/>
        </w:rPr>
        <w:t>应依法作出受理决定，并出具相关回执。</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楷体_GB2312" w:hAnsi="Times New Roman" w:hint="default"/>
          <w:sz w:val="32"/>
          <w:szCs w:val="32"/>
        </w:rPr>
      </w:pPr>
      <w:r>
        <w:rPr>
          <w:rFonts w:ascii="Times New Roman" w:eastAsia="楷体_GB2312" w:hAnsi="Times New Roman" w:hint="default"/>
          <w:sz w:val="32"/>
          <w:szCs w:val="32"/>
        </w:rPr>
        <w:t>（</w:t>
      </w:r>
      <w:r>
        <w:rPr>
          <w:rFonts w:ascii="Times New Roman" w:eastAsia="楷体_GB2312" w:hAnsi="Times New Roman" w:hint="eastAsia"/>
          <w:sz w:val="32"/>
          <w:szCs w:val="32"/>
          <w:lang w:eastAsia="zh-CN"/>
        </w:rPr>
        <w:t>三</w:t>
      </w:r>
      <w:r>
        <w:rPr>
          <w:rFonts w:ascii="Times New Roman" w:eastAsia="楷体_GB2312" w:hAnsi="Times New Roman" w:hint="default"/>
          <w:sz w:val="32"/>
          <w:szCs w:val="32"/>
        </w:rPr>
        <w:t>）审批</w:t>
      </w:r>
    </w:p>
    <w:p>
      <w:pPr>
        <w:pStyle w:val="style0"/>
        <w:keepNext w:val="false"/>
        <w:keepLines w:val="false"/>
        <w:pageBreakBefore w:val="false"/>
        <w:wordWrap/>
        <w:overflowPunct/>
        <w:topLinePunct w:val="false"/>
        <w:bidi w:val="false"/>
        <w:spacing w:lineRule="exact" w:line="560"/>
        <w:ind w:firstLine="640" w:firstLineChars="200"/>
        <w:rPr>
          <w:rFonts w:ascii="仿宋_GB2312" w:cs="仿宋_GB2312" w:eastAsia="仿宋_GB2312" w:hAnsi="仿宋_GB2312" w:hint="eastAsia"/>
          <w:b w:val="false"/>
          <w:bCs w:val="false"/>
          <w:color w:val="ff0000"/>
          <w:sz w:val="32"/>
          <w:szCs w:val="32"/>
        </w:rPr>
      </w:pPr>
      <w:r>
        <w:rPr>
          <w:rFonts w:ascii="Times New Roman" w:eastAsia="仿宋_GB2312" w:hAnsi="Times New Roman" w:hint="eastAsia"/>
          <w:b w:val="false"/>
          <w:bCs w:val="false"/>
          <w:color w:val="ff0000"/>
          <w:sz w:val="32"/>
          <w:szCs w:val="32"/>
          <w:lang w:eastAsia="zh-CN"/>
        </w:rPr>
        <w:t>区经济贸易和科技局（科技）、区旅游局（文化艺术、体育）</w:t>
      </w:r>
      <w:r>
        <w:rPr>
          <w:rFonts w:ascii="仿宋_GB2312" w:cs="仿宋_GB2312" w:eastAsia="仿宋_GB2312" w:hAnsi="仿宋_GB2312" w:hint="eastAsia"/>
          <w:b w:val="false"/>
          <w:bCs w:val="false"/>
          <w:color w:val="ff0000"/>
          <w:sz w:val="32"/>
          <w:szCs w:val="32"/>
        </w:rPr>
        <w:t>组织力量对申请材料进行</w:t>
      </w:r>
      <w:r>
        <w:rPr>
          <w:rFonts w:ascii="仿宋_GB2312" w:cs="仿宋_GB2312" w:eastAsia="仿宋_GB2312" w:hAnsi="仿宋_GB2312" w:hint="eastAsia"/>
          <w:b w:val="false"/>
          <w:bCs w:val="false"/>
          <w:color w:val="ff0000"/>
          <w:sz w:val="32"/>
          <w:szCs w:val="32"/>
          <w:lang w:eastAsia="zh-CN"/>
        </w:rPr>
        <w:t>专业</w:t>
      </w:r>
      <w:r>
        <w:rPr>
          <w:rFonts w:ascii="仿宋_GB2312" w:cs="仿宋_GB2312" w:eastAsia="仿宋_GB2312" w:hAnsi="仿宋_GB2312" w:hint="eastAsia"/>
          <w:b w:val="false"/>
          <w:bCs w:val="false"/>
          <w:color w:val="ff0000"/>
          <w:sz w:val="32"/>
          <w:szCs w:val="32"/>
        </w:rPr>
        <w:t>审核</w:t>
      </w:r>
      <w:r>
        <w:rPr>
          <w:rFonts w:ascii="仿宋_GB2312" w:cs="仿宋_GB2312" w:eastAsia="仿宋_GB2312" w:hAnsi="仿宋_GB2312" w:hint="eastAsia"/>
          <w:b w:val="false"/>
          <w:bCs w:val="false"/>
          <w:color w:val="ff0000"/>
          <w:sz w:val="32"/>
          <w:szCs w:val="32"/>
          <w:lang w:eastAsia="zh-CN"/>
        </w:rPr>
        <w:t>，并将专业审核意见书面报教育行政部门。</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仿宋_GB2312" w:hAnsi="Times New Roman" w:hint="default"/>
          <w:b w:val="false"/>
          <w:bCs w:val="false"/>
          <w:color w:val="ff0000"/>
          <w:sz w:val="32"/>
          <w:szCs w:val="32"/>
        </w:rPr>
      </w:pPr>
      <w:r>
        <w:rPr>
          <w:rFonts w:ascii="仿宋_GB2312" w:cs="仿宋_GB2312" w:eastAsia="仿宋_GB2312" w:hAnsi="仿宋_GB2312" w:hint="eastAsia"/>
          <w:b w:val="false"/>
          <w:bCs w:val="false"/>
          <w:color w:val="ff0000"/>
          <w:sz w:val="32"/>
          <w:szCs w:val="32"/>
        </w:rPr>
        <w:t>对于符合法定条件、标准的，</w:t>
      </w:r>
      <w:r>
        <w:rPr>
          <w:rFonts w:ascii="仿宋_GB2312" w:cs="仿宋_GB2312" w:eastAsia="仿宋_GB2312" w:hAnsi="仿宋_GB2312" w:hint="eastAsia"/>
          <w:b w:val="false"/>
          <w:bCs w:val="false"/>
          <w:color w:val="ff0000"/>
          <w:sz w:val="32"/>
          <w:szCs w:val="32"/>
          <w:lang w:eastAsia="zh-CN"/>
        </w:rPr>
        <w:t>区教育局应当依法作出准予</w:t>
      </w:r>
      <w:r>
        <w:rPr>
          <w:rFonts w:ascii="仿宋_GB2312" w:cs="仿宋_GB2312" w:eastAsia="仿宋_GB2312" w:hAnsi="仿宋_GB2312" w:hint="eastAsia"/>
          <w:b w:val="false"/>
          <w:bCs w:val="false"/>
          <w:color w:val="ff0000"/>
          <w:sz w:val="32"/>
          <w:szCs w:val="32"/>
          <w:lang w:val="en-US" w:eastAsia="zh-CN"/>
        </w:rPr>
        <w:t>终止</w:t>
      </w:r>
      <w:r>
        <w:rPr>
          <w:rFonts w:ascii="仿宋_GB2312" w:cs="仿宋_GB2312" w:eastAsia="仿宋_GB2312" w:hAnsi="仿宋_GB2312" w:hint="eastAsia"/>
          <w:b w:val="false"/>
          <w:bCs w:val="false"/>
          <w:color w:val="ff0000"/>
          <w:sz w:val="32"/>
          <w:szCs w:val="32"/>
          <w:lang w:eastAsia="zh-CN"/>
        </w:rPr>
        <w:t>的书面决定</w:t>
      </w:r>
      <w:r>
        <w:rPr>
          <w:rFonts w:ascii="仿宋_GB2312" w:cs="仿宋_GB2312" w:eastAsia="仿宋_GB2312" w:hAnsi="仿宋_GB2312" w:hint="eastAsia"/>
          <w:b w:val="false"/>
          <w:bCs w:val="false"/>
          <w:color w:val="ff0000"/>
          <w:sz w:val="32"/>
          <w:szCs w:val="32"/>
        </w:rPr>
        <w:t>；对于不符合法定条件、标准的</w:t>
      </w:r>
      <w:r>
        <w:rPr>
          <w:rFonts w:ascii="仿宋_GB2312" w:cs="仿宋_GB2312" w:eastAsia="仿宋_GB2312" w:hAnsi="仿宋_GB2312" w:hint="eastAsia"/>
          <w:b w:val="false"/>
          <w:bCs w:val="false"/>
          <w:color w:val="ff0000"/>
          <w:sz w:val="32"/>
          <w:szCs w:val="32"/>
          <w:lang w:eastAsia="zh-CN"/>
        </w:rPr>
        <w:t>，</w:t>
      </w:r>
      <w:r>
        <w:rPr>
          <w:rFonts w:ascii="仿宋_GB2312" w:cs="仿宋_GB2312" w:eastAsia="仿宋_GB2312" w:hAnsi="仿宋_GB2312" w:hint="eastAsia"/>
          <w:b w:val="false"/>
          <w:bCs w:val="false"/>
          <w:color w:val="ff0000"/>
          <w:sz w:val="32"/>
          <w:szCs w:val="32"/>
          <w:lang w:eastAsia="zh-CN"/>
        </w:rPr>
        <w:t>区教育局</w:t>
      </w:r>
      <w:r>
        <w:rPr>
          <w:rFonts w:ascii="仿宋_GB2312" w:cs="仿宋_GB2312" w:eastAsia="仿宋_GB2312" w:hAnsi="仿宋_GB2312" w:hint="eastAsia"/>
          <w:b w:val="false"/>
          <w:bCs w:val="false"/>
          <w:color w:val="ff0000"/>
          <w:sz w:val="32"/>
          <w:szCs w:val="32"/>
        </w:rPr>
        <w:t>应当依法作出不予</w:t>
      </w:r>
      <w:r>
        <w:rPr>
          <w:rFonts w:ascii="仿宋_GB2312" w:cs="仿宋_GB2312" w:eastAsia="仿宋_GB2312" w:hAnsi="仿宋_GB2312" w:hint="eastAsia"/>
          <w:b w:val="false"/>
          <w:bCs w:val="false"/>
          <w:color w:val="ff0000"/>
          <w:sz w:val="32"/>
          <w:szCs w:val="32"/>
          <w:lang w:val="en-US" w:eastAsia="zh-CN"/>
        </w:rPr>
        <w:t>终止</w:t>
      </w:r>
      <w:r>
        <w:rPr>
          <w:rFonts w:ascii="仿宋_GB2312" w:cs="仿宋_GB2312" w:eastAsia="仿宋_GB2312" w:hAnsi="仿宋_GB2312" w:hint="eastAsia"/>
          <w:b w:val="false"/>
          <w:bCs w:val="false"/>
          <w:color w:val="ff0000"/>
          <w:sz w:val="32"/>
          <w:szCs w:val="32"/>
        </w:rPr>
        <w:t>的书面决定，并说明理由。</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楷体_GB2312" w:hAnsi="Times New Roman" w:hint="default"/>
          <w:sz w:val="32"/>
          <w:szCs w:val="32"/>
        </w:rPr>
      </w:pPr>
      <w:r>
        <w:rPr>
          <w:rFonts w:ascii="Times New Roman" w:eastAsia="楷体_GB2312" w:hAnsi="Times New Roman" w:hint="default"/>
          <w:sz w:val="32"/>
          <w:szCs w:val="32"/>
        </w:rPr>
        <w:t>（</w:t>
      </w:r>
      <w:r>
        <w:rPr>
          <w:rFonts w:ascii="Times New Roman" w:eastAsia="楷体_GB2312" w:hAnsi="Times New Roman" w:hint="eastAsia"/>
          <w:sz w:val="32"/>
          <w:szCs w:val="32"/>
          <w:lang w:eastAsia="zh-CN"/>
        </w:rPr>
        <w:t>四</w:t>
      </w:r>
      <w:r>
        <w:rPr>
          <w:rFonts w:ascii="Times New Roman" w:eastAsia="楷体_GB2312" w:hAnsi="Times New Roman" w:hint="default"/>
          <w:sz w:val="32"/>
          <w:szCs w:val="32"/>
        </w:rPr>
        <w:t>）公告</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仿宋_GB2312" w:hAnsi="Times New Roman" w:hint="default"/>
          <w:sz w:val="32"/>
          <w:szCs w:val="32"/>
        </w:rPr>
      </w:pPr>
      <w:r>
        <w:rPr>
          <w:rFonts w:ascii="Times New Roman" w:eastAsia="仿宋_GB2312" w:hAnsi="Times New Roman" w:hint="default"/>
          <w:sz w:val="32"/>
          <w:szCs w:val="32"/>
        </w:rPr>
        <w:t>对于通过审批</w:t>
      </w:r>
      <w:r>
        <w:rPr>
          <w:rFonts w:ascii="Times New Roman" w:eastAsia="仿宋_GB2312" w:hAnsi="Times New Roman" w:hint="eastAsia"/>
          <w:sz w:val="32"/>
          <w:szCs w:val="32"/>
        </w:rPr>
        <w:t>、</w:t>
      </w:r>
      <w:r>
        <w:rPr>
          <w:rFonts w:ascii="Times New Roman" w:eastAsia="仿宋_GB2312" w:hAnsi="Times New Roman" w:hint="default"/>
          <w:sz w:val="32"/>
          <w:szCs w:val="32"/>
        </w:rPr>
        <w:t>准予</w:t>
      </w:r>
      <w:r>
        <w:rPr>
          <w:rFonts w:ascii="Times New Roman" w:eastAsia="仿宋_GB2312" w:hAnsi="Times New Roman" w:hint="eastAsia"/>
          <w:sz w:val="32"/>
          <w:szCs w:val="32"/>
          <w:lang w:eastAsia="zh-CN"/>
        </w:rPr>
        <w:t>终止</w:t>
      </w:r>
      <w:r>
        <w:rPr>
          <w:rFonts w:ascii="Times New Roman" w:eastAsia="仿宋_GB2312" w:hAnsi="Times New Roman" w:hint="default"/>
          <w:sz w:val="32"/>
          <w:szCs w:val="32"/>
        </w:rPr>
        <w:t>的培训机构，</w:t>
      </w:r>
      <w:r>
        <w:rPr>
          <w:rFonts w:ascii="Times New Roman" w:eastAsia="仿宋_GB2312" w:hAnsi="Times New Roman" w:hint="eastAsia"/>
          <w:sz w:val="32"/>
          <w:szCs w:val="32"/>
          <w:lang w:eastAsia="zh-CN"/>
        </w:rPr>
        <w:t>区</w:t>
      </w:r>
      <w:r>
        <w:rPr>
          <w:rFonts w:ascii="Times New Roman" w:eastAsia="仿宋_GB2312" w:hAnsi="Times New Roman" w:hint="eastAsia"/>
          <w:sz w:val="32"/>
          <w:szCs w:val="32"/>
          <w:lang w:val="en-US" w:eastAsia="zh-CN"/>
        </w:rPr>
        <w:t>教育局</w:t>
      </w:r>
      <w:r>
        <w:rPr>
          <w:rFonts w:ascii="Times New Roman" w:eastAsia="仿宋_GB2312" w:hAnsi="Times New Roman" w:hint="default"/>
          <w:sz w:val="32"/>
          <w:szCs w:val="32"/>
        </w:rPr>
        <w:t>应当予以公告，公告内容包括培训机构的属性、名称、地址、培训类别、培训形式、培训内容</w:t>
      </w:r>
      <w:r>
        <w:rPr>
          <w:rFonts w:ascii="Times New Roman" w:eastAsia="仿宋_GB2312" w:hAnsi="Times New Roman" w:hint="eastAsia"/>
          <w:sz w:val="32"/>
          <w:szCs w:val="32"/>
          <w:lang w:eastAsia="zh-CN"/>
        </w:rPr>
        <w:t>、终止时间</w:t>
      </w:r>
      <w:r>
        <w:rPr>
          <w:rFonts w:ascii="Times New Roman" w:eastAsia="仿宋_GB2312" w:hAnsi="Times New Roman" w:hint="default"/>
          <w:sz w:val="32"/>
          <w:szCs w:val="32"/>
        </w:rPr>
        <w:t>等信息。</w:t>
      </w:r>
    </w:p>
    <w:p>
      <w:pPr>
        <w:pStyle w:val="style0"/>
        <w:spacing w:before="6" w:afterAutospacing="false" w:lineRule="auto" w:line="333"/>
        <w:ind w:firstLine="640" w:firstLineChars="200"/>
        <w:rPr>
          <w:rFonts w:ascii="黑体" w:cs="黑体" w:eastAsia="黑体" w:hAnsi="黑体" w:hint="eastAsia"/>
          <w:sz w:val="32"/>
          <w:szCs w:val="32"/>
          <w:lang w:eastAsia="zh-CN"/>
        </w:rPr>
      </w:pPr>
      <w:r>
        <w:rPr>
          <w:rFonts w:ascii="黑体" w:cs="黑体" w:eastAsia="黑体" w:hAnsi="黑体" w:hint="eastAsia"/>
          <w:sz w:val="32"/>
          <w:szCs w:val="32"/>
          <w:lang w:eastAsia="zh-CN"/>
        </w:rPr>
        <w:t>七、办理方式</w:t>
      </w:r>
    </w:p>
    <w:p>
      <w:pPr>
        <w:pStyle w:val="style2"/>
        <w:keepNext w:val="false"/>
        <w:keepLines w:val="false"/>
        <w:pageBreakBefore w:val="false"/>
        <w:kinsoku/>
        <w:wordWrap/>
        <w:overflowPunct/>
        <w:topLinePunct w:val="false"/>
        <w:autoSpaceDE/>
        <w:autoSpaceDN/>
        <w:adjustRightInd/>
        <w:snapToGrid/>
        <w:spacing w:before="0" w:beforeAutospacing="false" w:after="0" w:afterAutospacing="false" w:lineRule="auto" w:line="240"/>
        <w:ind w:firstLine="640" w:firstLineChars="200"/>
        <w:textAlignment w:val="auto"/>
        <w:rPr>
          <w:rFonts w:ascii="黑体" w:eastAsia="黑体" w:hAnsi="黑体" w:hint="eastAsia"/>
          <w:b w:val="false"/>
          <w:bCs/>
          <w:sz w:val="32"/>
          <w:szCs w:val="32"/>
          <w:lang w:eastAsia="zh-CN"/>
        </w:rPr>
      </w:pPr>
      <w:r>
        <w:rPr>
          <w:rFonts w:ascii="Times New Roman" w:cs="宋体" w:eastAsia="仿宋_GB2312" w:hAnsi="Times New Roman" w:hint="eastAsia"/>
          <w:b w:val="false"/>
          <w:kern w:val="2"/>
          <w:sz w:val="32"/>
          <w:szCs w:val="32"/>
          <w:lang w:val="en-US" w:bidi="ar-SA" w:eastAsia="zh-CN"/>
        </w:rPr>
        <w:t>本事项申请方式为窗口办理，办理流程图如图1所示。</w:t>
      </w:r>
    </w:p>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ind w:firstLine="640" w:firstLineChars="200"/>
        <w:textAlignment w:val="auto"/>
        <w:rPr>
          <w:rFonts w:ascii="仿宋_GB2312" w:cs="仿宋_GB2312" w:eastAsia="仿宋_GB2312" w:hAnsi="仿宋_GB2312" w:hint="eastAsia"/>
          <w:b w:val="false"/>
          <w:sz w:val="32"/>
          <w:szCs w:val="32"/>
        </w:rPr>
      </w:pPr>
      <w:r>
        <w:rPr>
          <w:rFonts w:ascii="黑体" w:cs="黑体" w:eastAsia="黑体" w:hAnsi="黑体" w:hint="eastAsia"/>
          <w:b w:val="false"/>
          <w:bCs/>
          <w:sz w:val="32"/>
          <w:szCs w:val="32"/>
          <w:lang w:eastAsia="zh-CN"/>
        </w:rPr>
        <w:t>八、办理地址</w:t>
      </w:r>
    </w:p>
    <w:tbl>
      <w:tblPr>
        <w:tblStyle w:val="style105"/>
        <w:tblW w:w="885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700"/>
        <w:gridCol w:w="1783"/>
        <w:gridCol w:w="2486"/>
        <w:gridCol w:w="2881"/>
      </w:tblGrid>
      <w:tr>
        <w:trPr>
          <w:trHeight w:val="637" w:hRule="atLeast"/>
        </w:trPr>
        <w:tc>
          <w:tcPr>
            <w:tcW w:w="1700" w:type="dxa"/>
            <w:tcBorders/>
            <w:shd w:val="clear" w:color="auto" w:fill="auto"/>
            <w:vAlign w:val="center"/>
          </w:tcPr>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jc w:val="center"/>
              <w:textAlignment w:val="auto"/>
              <w:rPr>
                <w:rFonts w:ascii="黑体" w:cs="黑体" w:eastAsia="黑体" w:hAnsi="黑体" w:hint="default"/>
                <w:b/>
                <w:sz w:val="24"/>
                <w:szCs w:val="24"/>
                <w:lang w:val="en-US" w:eastAsia="zh-CN"/>
              </w:rPr>
            </w:pPr>
            <w:r>
              <w:rPr>
                <w:rFonts w:ascii="黑体" w:cs="黑体" w:eastAsia="黑体" w:hAnsi="黑体" w:hint="eastAsia"/>
                <w:b/>
                <w:sz w:val="24"/>
                <w:szCs w:val="24"/>
                <w:lang w:val="en-US" w:eastAsia="zh-CN"/>
              </w:rPr>
              <w:t>业务部门</w:t>
            </w:r>
          </w:p>
        </w:tc>
        <w:tc>
          <w:tcPr>
            <w:tcW w:w="1783" w:type="dxa"/>
            <w:tcBorders/>
            <w:shd w:val="clear" w:color="auto" w:fill="auto"/>
            <w:vAlign w:val="center"/>
          </w:tcPr>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jc w:val="center"/>
              <w:textAlignment w:val="auto"/>
              <w:rPr>
                <w:rFonts w:ascii="黑体" w:cs="黑体" w:eastAsia="黑体" w:hAnsi="黑体" w:hint="eastAsia"/>
                <w:b/>
                <w:sz w:val="24"/>
                <w:szCs w:val="24"/>
              </w:rPr>
            </w:pPr>
            <w:r>
              <w:rPr>
                <w:rFonts w:ascii="黑体" w:cs="黑体" w:eastAsia="黑体" w:hAnsi="黑体" w:hint="eastAsia"/>
                <w:b/>
                <w:sz w:val="24"/>
                <w:szCs w:val="24"/>
              </w:rPr>
              <w:t>联系电话</w:t>
            </w:r>
          </w:p>
        </w:tc>
        <w:tc>
          <w:tcPr>
            <w:tcW w:w="2486" w:type="dxa"/>
            <w:tcBorders/>
            <w:shd w:val="clear" w:color="auto" w:fill="auto"/>
            <w:vAlign w:val="center"/>
          </w:tcPr>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jc w:val="center"/>
              <w:textAlignment w:val="auto"/>
              <w:rPr>
                <w:rFonts w:ascii="黑体" w:cs="黑体" w:eastAsia="黑体" w:hAnsi="黑体" w:hint="eastAsia"/>
                <w:b/>
                <w:sz w:val="24"/>
                <w:szCs w:val="24"/>
              </w:rPr>
            </w:pPr>
            <w:r>
              <w:rPr>
                <w:rFonts w:ascii="黑体" w:cs="黑体" w:eastAsia="黑体" w:hAnsi="黑体" w:hint="eastAsia"/>
                <w:b/>
                <w:sz w:val="24"/>
                <w:szCs w:val="24"/>
              </w:rPr>
              <w:t>办公时间</w:t>
            </w:r>
          </w:p>
        </w:tc>
        <w:tc>
          <w:tcPr>
            <w:tcW w:w="2881" w:type="dxa"/>
            <w:tcBorders/>
            <w:shd w:val="clear" w:color="auto" w:fill="auto"/>
            <w:vAlign w:val="center"/>
          </w:tcPr>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jc w:val="center"/>
              <w:textAlignment w:val="auto"/>
              <w:rPr>
                <w:rFonts w:ascii="黑体" w:cs="黑体" w:eastAsia="黑体" w:hAnsi="黑体" w:hint="eastAsia"/>
                <w:b/>
                <w:sz w:val="24"/>
                <w:szCs w:val="24"/>
                <w:lang w:eastAsia="zh-CN"/>
              </w:rPr>
            </w:pPr>
            <w:r>
              <w:rPr>
                <w:rFonts w:ascii="黑体" w:cs="黑体" w:eastAsia="黑体" w:hAnsi="黑体" w:hint="eastAsia"/>
                <w:b/>
                <w:sz w:val="24"/>
                <w:szCs w:val="24"/>
                <w:lang w:val="en-US" w:eastAsia="zh-CN"/>
              </w:rPr>
              <w:t>地址</w:t>
            </w:r>
          </w:p>
        </w:tc>
      </w:tr>
      <w:tr>
        <w:tblPrEx/>
        <w:trPr>
          <w:trHeight w:val="1827" w:hRule="atLeast"/>
        </w:trPr>
        <w:tc>
          <w:tcPr>
            <w:tcW w:w="1700"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b/>
                <w:sz w:val="24"/>
                <w:szCs w:val="24"/>
                <w:lang w:val="en-US" w:eastAsia="zh-CN"/>
              </w:rPr>
            </w:pPr>
            <w:r>
              <w:rPr>
                <w:rFonts w:ascii="仿宋_GB2312" w:cs="仿宋_GB2312" w:eastAsia="仿宋_GB2312" w:hAnsi="仿宋_GB2312" w:hint="eastAsia"/>
                <w:sz w:val="24"/>
                <w:szCs w:val="24"/>
              </w:rPr>
              <w:t>湛江经济技术开发区</w:t>
            </w:r>
            <w:r>
              <w:rPr>
                <w:rFonts w:ascii="仿宋_GB2312" w:cs="仿宋_GB2312" w:eastAsia="仿宋_GB2312" w:hAnsi="仿宋_GB2312" w:hint="eastAsia"/>
                <w:sz w:val="24"/>
                <w:szCs w:val="24"/>
                <w:lang w:val="en-US" w:eastAsia="zh-CN"/>
              </w:rPr>
              <w:t>经济贸易和科技局科技科</w:t>
            </w:r>
          </w:p>
        </w:tc>
        <w:tc>
          <w:tcPr>
            <w:tcW w:w="1783"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b/>
                <w:sz w:val="24"/>
                <w:szCs w:val="24"/>
              </w:rPr>
            </w:pPr>
            <w:r>
              <w:rPr>
                <w:rFonts w:ascii="仿宋_GB2312" w:cs="仿宋_GB2312" w:eastAsia="仿宋_GB2312" w:hAnsi="仿宋_GB2312" w:hint="eastAsia"/>
                <w:sz w:val="24"/>
                <w:szCs w:val="24"/>
              </w:rPr>
              <w:t>0759-</w:t>
            </w:r>
            <w:r>
              <w:rPr>
                <w:rFonts w:ascii="仿宋_GB2312" w:cs="仿宋_GB2312" w:eastAsia="仿宋_GB2312" w:hAnsi="仿宋_GB2312" w:hint="eastAsia"/>
                <w:sz w:val="24"/>
                <w:szCs w:val="24"/>
                <w:lang w:val="en-US" w:eastAsia="zh-CN"/>
              </w:rPr>
              <w:t>2968401</w:t>
            </w:r>
          </w:p>
        </w:tc>
        <w:tc>
          <w:tcPr>
            <w:tcW w:w="2486"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（周一至周五）</w:t>
            </w:r>
          </w:p>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8：30-12：00</w:t>
            </w:r>
          </w:p>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b/>
                <w:sz w:val="24"/>
                <w:szCs w:val="24"/>
              </w:rPr>
            </w:pPr>
            <w:r>
              <w:rPr>
                <w:rFonts w:ascii="仿宋_GB2312" w:cs="仿宋_GB2312" w:eastAsia="仿宋_GB2312" w:hAnsi="仿宋_GB2312" w:hint="eastAsia"/>
                <w:b w:val="false"/>
                <w:kern w:val="2"/>
                <w:sz w:val="24"/>
                <w:szCs w:val="24"/>
                <w:lang w:val="en-US" w:bidi="ar-SA" w:eastAsia="zh-CN"/>
              </w:rPr>
              <w:t>14：30-18：00</w:t>
            </w:r>
          </w:p>
        </w:tc>
        <w:tc>
          <w:tcPr>
            <w:tcW w:w="2881"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b/>
                <w:sz w:val="24"/>
                <w:szCs w:val="24"/>
                <w:lang w:val="en-US" w:eastAsia="zh-CN"/>
              </w:rPr>
            </w:pPr>
            <w:r>
              <w:rPr>
                <w:rFonts w:ascii="仿宋_GB2312" w:cs="仿宋_GB2312" w:eastAsia="仿宋_GB2312" w:hAnsi="仿宋_GB2312" w:hint="eastAsia"/>
                <w:b w:val="false"/>
                <w:bCs/>
                <w:sz w:val="24"/>
                <w:szCs w:val="24"/>
                <w:lang w:val="en-US" w:eastAsia="zh-CN"/>
              </w:rPr>
              <w:t>湛江经济技术开发区泰华大厦15楼1509室</w:t>
            </w:r>
          </w:p>
        </w:tc>
      </w:tr>
      <w:tr>
        <w:tblPrEx/>
        <w:trPr>
          <w:trHeight w:val="1467" w:hRule="atLeast"/>
        </w:trPr>
        <w:tc>
          <w:tcPr>
            <w:tcW w:w="1700"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湛江经济技术开发区旅游局文体科</w:t>
            </w:r>
          </w:p>
        </w:tc>
        <w:tc>
          <w:tcPr>
            <w:tcW w:w="1783"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sz w:val="24"/>
                <w:szCs w:val="24"/>
                <w:lang w:val="en-US"/>
              </w:rPr>
            </w:pPr>
            <w:r>
              <w:rPr>
                <w:rFonts w:ascii="仿宋_GB2312" w:cs="仿宋_GB2312" w:eastAsia="仿宋_GB2312" w:hAnsi="仿宋_GB2312" w:hint="eastAsia"/>
                <w:sz w:val="24"/>
                <w:szCs w:val="24"/>
                <w:lang w:val="en-US" w:eastAsia="zh-CN"/>
              </w:rPr>
              <w:t>0759-2822919</w:t>
            </w:r>
          </w:p>
        </w:tc>
        <w:tc>
          <w:tcPr>
            <w:tcW w:w="2486"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（周一至周五）</w:t>
            </w:r>
          </w:p>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8：30-12：00</w:t>
            </w:r>
          </w:p>
          <w:p>
            <w:pPr>
              <w:pStyle w:val="style2"/>
              <w:rPr>
                <w:rFonts w:hint="default"/>
                <w:lang w:val="en-US" w:eastAsia="zh-CN"/>
              </w:rPr>
            </w:pPr>
            <w:r>
              <w:rPr>
                <w:rFonts w:ascii="仿宋_GB2312" w:cs="仿宋_GB2312" w:eastAsia="仿宋_GB2312" w:hAnsi="仿宋_GB2312" w:hint="eastAsia"/>
                <w:b w:val="false"/>
                <w:kern w:val="2"/>
                <w:sz w:val="24"/>
                <w:szCs w:val="24"/>
                <w:lang w:val="en-US" w:bidi="ar-SA" w:eastAsia="zh-CN"/>
              </w:rPr>
              <w:t>14：30-18：00</w:t>
            </w:r>
          </w:p>
        </w:tc>
        <w:tc>
          <w:tcPr>
            <w:tcW w:w="2881"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b/>
                <w:sz w:val="24"/>
                <w:szCs w:val="24"/>
                <w:lang w:val="en-US" w:eastAsia="zh-CN"/>
              </w:rPr>
            </w:pPr>
            <w:r>
              <w:rPr>
                <w:rFonts w:ascii="仿宋_GB2312" w:cs="仿宋_GB2312" w:eastAsia="仿宋_GB2312" w:hAnsi="仿宋_GB2312" w:hint="eastAsia"/>
                <w:sz w:val="24"/>
                <w:szCs w:val="24"/>
                <w:lang w:val="en-US" w:eastAsia="zh-CN"/>
              </w:rPr>
              <w:t>湛江市人民大道中39号开发区图书馆</w:t>
            </w:r>
          </w:p>
        </w:tc>
      </w:tr>
      <w:tr>
        <w:tblPrEx/>
        <w:trPr>
          <w:trHeight w:val="1207" w:hRule="atLeast"/>
        </w:trPr>
        <w:tc>
          <w:tcPr>
            <w:tcW w:w="1700"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湛江经济技术开发区教育局教育科</w:t>
            </w:r>
          </w:p>
        </w:tc>
        <w:tc>
          <w:tcPr>
            <w:tcW w:w="1783"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val="en-US" w:eastAsia="zh-CN"/>
              </w:rPr>
              <w:t>0759-2968296</w:t>
            </w:r>
          </w:p>
        </w:tc>
        <w:tc>
          <w:tcPr>
            <w:tcW w:w="2486"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（周一至周五）</w:t>
            </w:r>
          </w:p>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9：00-17：00</w:t>
            </w:r>
          </w:p>
        </w:tc>
        <w:tc>
          <w:tcPr>
            <w:tcW w:w="2881"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b/>
                <w:sz w:val="24"/>
                <w:szCs w:val="24"/>
                <w:lang w:val="en-US" w:eastAsia="zh-CN"/>
              </w:rPr>
            </w:pPr>
            <w:r>
              <w:rPr>
                <w:rFonts w:ascii="仿宋_GB2312" w:cs="仿宋_GB2312" w:eastAsia="仿宋_GB2312" w:hAnsi="仿宋_GB2312" w:hint="eastAsia"/>
                <w:sz w:val="24"/>
                <w:szCs w:val="24"/>
                <w:lang w:val="en-US" w:eastAsia="zh-CN"/>
              </w:rPr>
              <w:t>东海岛东海大厦12楼1204室</w:t>
            </w:r>
          </w:p>
        </w:tc>
      </w:tr>
    </w:tbl>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lang w:eastAsia="zh-CN"/>
        </w:rPr>
        <w:t>九</w:t>
      </w:r>
      <w:r>
        <w:rPr>
          <w:rFonts w:ascii="黑体" w:cs="黑体" w:eastAsia="黑体" w:hAnsi="黑体" w:hint="eastAsia"/>
          <w:b w:val="false"/>
          <w:bCs/>
          <w:sz w:val="32"/>
          <w:szCs w:val="32"/>
        </w:rPr>
        <w:t>、咨询、投诉、行政复议或行政诉讼</w:t>
      </w:r>
    </w:p>
    <w:p>
      <w:pPr>
        <w:pStyle w:val="style0"/>
        <w:keepNext w:val="false"/>
        <w:keepLines w:val="false"/>
        <w:pageBreakBefore w:val="false"/>
        <w:kinsoku/>
        <w:wordWrap/>
        <w:overflowPunct/>
        <w:topLinePunct w:val="false"/>
        <w:autoSpaceDE/>
        <w:autoSpaceDN/>
        <w:adjustRightInd/>
        <w:snapToGrid/>
        <w:spacing w:lineRule="auto" w:line="240"/>
        <w:ind w:left="0" w:leftChars="0"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1.申请人可通过电话、窗口等方式进行咨询和审批进程查询。</w:t>
      </w:r>
    </w:p>
    <w:p>
      <w:pPr>
        <w:pStyle w:val="style0"/>
        <w:keepNext w:val="false"/>
        <w:keepLines w:val="false"/>
        <w:pageBreakBefore w:val="false"/>
        <w:kinsoku/>
        <w:wordWrap/>
        <w:overflowPunct/>
        <w:topLinePunct w:val="false"/>
        <w:autoSpaceDE/>
        <w:autoSpaceDN/>
        <w:adjustRightInd/>
        <w:snapToGrid/>
        <w:spacing w:lineRule="auto" w:line="240"/>
        <w:ind w:left="0" w:leftChars="0" w:firstLine="640" w:firstLineChars="200"/>
        <w:textAlignment w:val="auto"/>
        <w:rPr>
          <w:rFonts w:ascii="仿宋_GB2312" w:cs="仿宋_GB2312" w:eastAsia="仿宋_GB2312" w:hAnsi="仿宋_GB2312" w:hint="eastAsia"/>
          <w:b/>
          <w:sz w:val="32"/>
          <w:szCs w:val="32"/>
        </w:rPr>
      </w:pPr>
      <w:r>
        <w:rPr>
          <w:rFonts w:ascii="仿宋_GB2312" w:cs="仿宋_GB2312" w:eastAsia="仿宋_GB2312" w:hAnsi="仿宋_GB2312" w:hint="eastAsia"/>
          <w:sz w:val="32"/>
          <w:szCs w:val="32"/>
          <w:lang w:val="en-US" w:eastAsia="zh-CN"/>
        </w:rPr>
        <w:t>湛</w:t>
      </w:r>
      <w:r>
        <w:rPr>
          <w:rFonts w:ascii="仿宋_GB2312" w:cs="仿宋_GB2312" w:eastAsia="仿宋_GB2312" w:hAnsi="仿宋_GB2312" w:hint="eastAsia"/>
          <w:sz w:val="32"/>
          <w:szCs w:val="32"/>
        </w:rPr>
        <w:t>江经济技术开发区经济贸易和科技局0759-2968401，湛江经济技术开发区旅游局</w:t>
      </w:r>
      <w:r>
        <w:rPr>
          <w:rFonts w:ascii="仿宋_GB2312" w:cs="仿宋_GB2312" w:eastAsia="仿宋_GB2312" w:hAnsi="仿宋_GB2312" w:hint="eastAsia"/>
          <w:sz w:val="32"/>
          <w:szCs w:val="32"/>
          <w:lang w:val="en-US" w:eastAsia="zh-CN"/>
        </w:rPr>
        <w:t>0759-2822919</w:t>
      </w:r>
      <w:r>
        <w:rPr>
          <w:rFonts w:ascii="仿宋_GB2312" w:cs="仿宋_GB2312" w:eastAsia="仿宋_GB2312" w:hAnsi="仿宋_GB2312" w:hint="eastAsia"/>
          <w:sz w:val="32"/>
          <w:szCs w:val="32"/>
        </w:rPr>
        <w:t>，湛江经济技术开发区教育局0759-2968296。</w:t>
      </w:r>
    </w:p>
    <w:p>
      <w:pPr>
        <w:pStyle w:val="style0"/>
        <w:keepNext w:val="false"/>
        <w:keepLines w:val="false"/>
        <w:pageBreakBefore w:val="false"/>
        <w:kinsoku/>
        <w:wordWrap/>
        <w:overflowPunct/>
        <w:topLinePunct w:val="false"/>
        <w:autoSpaceDE/>
        <w:autoSpaceDN/>
        <w:adjustRightInd/>
        <w:snapToGrid/>
        <w:spacing w:lineRule="exact" w:line="560"/>
        <w:textAlignment w:val="auto"/>
        <w:rPr>
          <w:rFonts w:ascii="仿宋_GB2312" w:cs="仿宋_GB2312" w:eastAsia="仿宋_GB2312" w:hAnsi="仿宋_GB2312" w:hint="eastAsia"/>
          <w:b/>
          <w:sz w:val="32"/>
          <w:szCs w:val="32"/>
        </w:rPr>
      </w:pPr>
      <w:r>
        <w:rPr>
          <w:rFonts w:ascii="仿宋_GB2312" w:cs="仿宋_GB2312" w:eastAsia="仿宋_GB2312" w:hAnsi="仿宋_GB2312" w:hint="eastAsia"/>
          <w:sz w:val="32"/>
          <w:szCs w:val="32"/>
        </w:rPr>
        <w:t xml:space="preserve">    2.申请人可通过电话、窗口等方式进行投诉。</w:t>
      </w:r>
    </w:p>
    <w:p>
      <w:pPr>
        <w:pStyle w:val="style0"/>
        <w:keepNext w:val="false"/>
        <w:keepLines w:val="false"/>
        <w:pageBreakBefore w:val="false"/>
        <w:kinsoku/>
        <w:wordWrap/>
        <w:overflowPunct/>
        <w:topLinePunct w:val="false"/>
        <w:autoSpaceDE/>
        <w:autoSpaceDN/>
        <w:adjustRightInd/>
        <w:snapToGrid/>
        <w:spacing w:lineRule="exact" w:line="560"/>
        <w:ind w:firstLine="64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lang w:val="en-US" w:eastAsia="zh-CN"/>
        </w:rPr>
        <w:t>湛</w:t>
      </w:r>
      <w:r>
        <w:rPr>
          <w:rFonts w:ascii="仿宋_GB2312" w:cs="仿宋_GB2312" w:eastAsia="仿宋_GB2312" w:hAnsi="仿宋_GB2312" w:hint="eastAsia"/>
          <w:sz w:val="32"/>
          <w:szCs w:val="32"/>
        </w:rPr>
        <w:t>江经济技术开发区经济贸易和科技局0759-2968401，湛江经济技术开发区旅游局</w:t>
      </w:r>
      <w:r>
        <w:rPr>
          <w:rFonts w:ascii="仿宋_GB2312" w:cs="仿宋_GB2312" w:eastAsia="仿宋_GB2312" w:hAnsi="仿宋_GB2312" w:hint="eastAsia"/>
          <w:sz w:val="32"/>
          <w:szCs w:val="32"/>
          <w:lang w:val="en-US" w:eastAsia="zh-CN"/>
        </w:rPr>
        <w:t>0759-2822919</w:t>
      </w:r>
      <w:r>
        <w:rPr>
          <w:rFonts w:ascii="仿宋_GB2312" w:cs="仿宋_GB2312" w:eastAsia="仿宋_GB2312" w:hAnsi="仿宋_GB2312" w:hint="eastAsia"/>
          <w:sz w:val="32"/>
          <w:szCs w:val="32"/>
        </w:rPr>
        <w:t>，湛江经济技术开发区教育局0759-2968296。</w:t>
      </w:r>
    </w:p>
    <w:p>
      <w:pPr>
        <w:pStyle w:val="style0"/>
        <w:keepNext w:val="false"/>
        <w:keepLines w:val="false"/>
        <w:pageBreakBefore w:val="false"/>
        <w:kinsoku/>
        <w:wordWrap/>
        <w:overflowPunct/>
        <w:topLinePunct w:val="false"/>
        <w:autoSpaceDE/>
        <w:autoSpaceDN/>
        <w:adjustRightInd/>
        <w:snapToGrid/>
        <w:spacing w:lineRule="exact" w:line="560"/>
        <w:ind w:firstLine="640"/>
        <w:textAlignment w:val="auto"/>
        <w:rPr>
          <w:rFonts w:hint="eastAsia"/>
          <w:lang w:val="en-US" w:eastAsia="zh-CN"/>
        </w:rPr>
      </w:pPr>
      <w:r>
        <w:rPr>
          <w:rFonts w:ascii="仿宋_GB2312" w:cs="仿宋_GB2312" w:eastAsia="仿宋_GB2312" w:hAnsi="仿宋_GB2312" w:hint="eastAsia"/>
          <w:sz w:val="32"/>
          <w:szCs w:val="32"/>
        </w:rPr>
        <w:t>3.申请人对本事项的办理结果有异议的，可依法申请行政复议或提起行政诉讼。</w:t>
      </w:r>
    </w:p>
    <w:p>
      <w:pPr>
        <w:pStyle w:val="style0"/>
        <w:rPr>
          <w:rFonts w:ascii="黑体" w:cs="黑体" w:eastAsia="黑体" w:hAnsi="黑体" w:hint="eastAsia"/>
          <w:b/>
          <w:bCs/>
          <w:sz w:val="28"/>
          <w:szCs w:val="36"/>
          <w:lang w:val="en-US" w:eastAsia="zh-CN"/>
        </w:rPr>
      </w:pPr>
    </w:p>
    <w:p>
      <w:pPr>
        <w:pStyle w:val="style0"/>
        <w:rPr>
          <w:rFonts w:hint="eastAsia"/>
          <w:lang w:val="en-US" w:eastAsia="zh-CN"/>
        </w:rPr>
      </w:pPr>
    </w:p>
    <w:p>
      <w:pPr>
        <w:pStyle w:val="style0"/>
        <w:jc w:val="center"/>
        <w:rPr>
          <w:rFonts w:ascii="黑体" w:cs="黑体" w:eastAsia="黑体" w:hAnsi="黑体" w:hint="eastAsia"/>
          <w:b/>
          <w:bCs/>
          <w:sz w:val="28"/>
          <w:szCs w:val="36"/>
          <w:lang w:val="en-US" w:eastAsia="zh-CN"/>
        </w:rPr>
      </w:pPr>
      <w:r>
        <w:rPr>
          <w:rFonts w:ascii="黑体" w:cs="黑体" w:eastAsia="黑体" w:hAnsi="黑体" w:hint="eastAsia"/>
          <w:b/>
          <w:bCs/>
          <w:sz w:val="28"/>
          <w:szCs w:val="36"/>
          <w:lang w:val="en-US" w:eastAsia="zh-CN"/>
        </w:rPr>
        <w:t>图1 非学科类校外培训机构终止审批窗口办理流程图</w:t>
      </w:r>
    </w:p>
    <w:p>
      <w:pPr>
        <w:pStyle w:val="style2"/>
        <w:rPr>
          <w:rFonts w:hint="eastAsia"/>
          <w:lang w:val="en-US" w:eastAsia="zh-CN"/>
        </w:rPr>
      </w:pPr>
      <w:r>
        <w:rPr>
          <w:rFonts w:hint="eastAsia"/>
          <w:lang w:val="en-US" w:eastAsia="zh-CN"/>
        </w:rPr>
        <w:drawing>
          <wp:inline distL="0" distT="0" distB="0" distR="0">
            <wp:extent cx="5610860" cy="6631305"/>
            <wp:effectExtent l="0" t="0" r="2540" b="10795"/>
            <wp:docPr id="1026" name="图片 1" descr="20231022非学科类校外培训机构终止审批窗口办理工作流程"/>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5610860" cy="6631305"/>
                    </a:xfrm>
                    <a:prstGeom prst="rect"/>
                  </pic:spPr>
                </pic:pic>
              </a:graphicData>
            </a:graphic>
          </wp:inline>
        </w:drawing>
      </w:r>
    </w:p>
    <w:sectPr>
      <w:footerReference w:type="default" r:id="rId3"/>
      <w:pgSz w:w="11906" w:h="16838" w:orient="portrait"/>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Cambria">
    <w:altName w:val="Cambria"/>
    <w:panose1 w:val="02040503050004030204"/>
    <w:charset w:val="00"/>
    <w:family w:val="auto"/>
    <w:pitch w:val="default"/>
    <w:sig w:usb0="E00002FF" w:usb1="400004FF" w:usb2="00000000" w:usb3="00000000" w:csb0="2000019F" w:csb1="00000000"/>
  </w:font>
  <w:font w:name="方正小标宋简体">
    <w:altName w:val="方正小标宋简体"/>
    <w:panose1 w:val="03000509000000000000"/>
    <w:charset w:val="86"/>
    <w:family w:val="auto"/>
    <w:pitch w:val="default"/>
    <w:sig w:usb0="00000001" w:usb1="080E0000" w:usb2="00000000" w:usb3="00000000" w:csb0="00040000" w:csb1="00000000"/>
  </w:font>
  <w:font w:name="仿宋_GB2312">
    <w:altName w:val="仿宋_GB2312"/>
    <w:panose1 w:val="02010609030001010101"/>
    <w:charset w:val="86"/>
    <w:family w:val="auto"/>
    <w:pitch w:val="default"/>
    <w:sig w:usb0="00000001" w:usb1="080E0000" w:usb2="00000000" w:usb3="00000000" w:csb0="00040000" w:csb1="00000000"/>
  </w:font>
  <w:font w:name="楷体_GB2312">
    <w:altName w:val="楷体_GB2312"/>
    <w:panose1 w:val="02010609030001010101"/>
    <w:charset w:val="86"/>
    <w:family w:val="auto"/>
    <w:pitch w:val="default"/>
    <w:sig w:usb0="00000001" w:usb1="080E0000" w:usb2="00000000"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outside</wp:align>
              </wp:positionH>
              <wp:positionV relativeFrom="paragraph">
                <wp:posOffset>0</wp:posOffset>
              </wp:positionV>
              <wp:extent cx="1828800" cy="1828800"/>
              <wp:effectExtent l="0" t="0" r="0" b="0"/>
              <wp:wrapNone/>
              <wp:docPr id="4097"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rFonts w:ascii="宋体" w:cs="宋体" w:eastAsia="宋体" w:hAnsi="宋体" w:hint="eastAsia"/>
                              <w:sz w:val="28"/>
                              <w:szCs w:val="44"/>
                            </w:rPr>
                          </w:pPr>
                          <w:r>
                            <w:rPr>
                              <w:rFonts w:ascii="宋体" w:cs="宋体" w:eastAsia="宋体" w:hAnsi="宋体" w:hint="eastAsia"/>
                              <w:sz w:val="28"/>
                              <w:szCs w:val="44"/>
                            </w:rPr>
                            <w:fldChar w:fldCharType="begin"/>
                          </w:r>
                          <w:r>
                            <w:rPr>
                              <w:rFonts w:ascii="宋体" w:cs="宋体" w:eastAsia="宋体" w:hAnsi="宋体" w:hint="eastAsia"/>
                              <w:sz w:val="28"/>
                              <w:szCs w:val="44"/>
                            </w:rPr>
                            <w:instrText xml:space="preserve"> PAGE  \* MERGEFORMAT </w:instrText>
                          </w:r>
                          <w:r>
                            <w:rPr>
                              <w:rFonts w:ascii="宋体" w:cs="宋体" w:eastAsia="宋体" w:hAnsi="宋体" w:hint="eastAsia"/>
                              <w:sz w:val="28"/>
                              <w:szCs w:val="44"/>
                            </w:rPr>
                            <w:fldChar w:fldCharType="separate"/>
                          </w:r>
                          <w:r>
                            <w:rPr>
                              <w:rFonts w:ascii="宋体" w:cs="宋体" w:eastAsia="宋体" w:hAnsi="宋体" w:hint="eastAsia"/>
                              <w:sz w:val="28"/>
                              <w:szCs w:val="44"/>
                            </w:rPr>
                            <w:t>1</w:t>
                          </w:r>
                          <w:r>
                            <w:rPr>
                              <w:rFonts w:ascii="宋体" w:cs="宋体" w:eastAsia="宋体" w:hAnsi="宋体" w:hint="eastAsia"/>
                              <w:sz w:val="28"/>
                              <w:szCs w:val="44"/>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out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rFonts w:ascii="宋体" w:cs="宋体" w:eastAsia="宋体" w:hAnsi="宋体" w:hint="eastAsia"/>
                        <w:sz w:val="28"/>
                        <w:szCs w:val="44"/>
                      </w:rPr>
                    </w:pPr>
                    <w:r>
                      <w:rPr>
                        <w:rFonts w:ascii="宋体" w:cs="宋体" w:eastAsia="宋体" w:hAnsi="宋体" w:hint="eastAsia"/>
                        <w:sz w:val="28"/>
                        <w:szCs w:val="44"/>
                      </w:rPr>
                      <w:fldChar w:fldCharType="begin"/>
                    </w:r>
                    <w:r>
                      <w:rPr>
                        <w:rFonts w:ascii="宋体" w:cs="宋体" w:eastAsia="宋体" w:hAnsi="宋体" w:hint="eastAsia"/>
                        <w:sz w:val="28"/>
                        <w:szCs w:val="44"/>
                      </w:rPr>
                      <w:instrText xml:space="preserve"> PAGE  \* MERGEFORMAT </w:instrText>
                    </w:r>
                    <w:r>
                      <w:rPr>
                        <w:rFonts w:ascii="宋体" w:cs="宋体" w:eastAsia="宋体" w:hAnsi="宋体" w:hint="eastAsia"/>
                        <w:sz w:val="28"/>
                        <w:szCs w:val="44"/>
                      </w:rPr>
                      <w:fldChar w:fldCharType="separate"/>
                    </w:r>
                    <w:r>
                      <w:rPr>
                        <w:rFonts w:ascii="宋体" w:cs="宋体" w:eastAsia="宋体" w:hAnsi="宋体" w:hint="eastAsia"/>
                        <w:sz w:val="28"/>
                        <w:szCs w:val="44"/>
                      </w:rPr>
                      <w:t>1</w:t>
                    </w:r>
                    <w:r>
                      <w:rPr>
                        <w:rFonts w:ascii="宋体" w:cs="宋体" w:eastAsia="宋体" w:hAnsi="宋体" w:hint="eastAsia"/>
                        <w:sz w:val="28"/>
                        <w:szCs w:val="44"/>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313FFCF"/>
    <w:lvl w:ilvl="0">
      <w:start w:val="1"/>
      <w:numFmt w:val="decimal"/>
      <w:lvlText w:val="%1."/>
      <w:lvlJc w:val="left"/>
      <w:pPr>
        <w:tabs>
          <w:tab w:val="left" w:leader="none" w:pos="312"/>
        </w:tabs>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2">
    <w:name w:val="heading 2"/>
    <w:basedOn w:val="style0"/>
    <w:next w:val="style0"/>
    <w:qFormat/>
    <w:uiPriority w:val="0"/>
    <w:pPr>
      <w:spacing w:before="100" w:beforeAutospacing="true" w:after="100" w:afterAutospacing="true"/>
      <w:outlineLvl w:val="1"/>
    </w:pPr>
    <w:rPr>
      <w:rFonts w:ascii="Cambria" w:cs="Times New Roman" w:hAnsi="Cambria" w:hint="default"/>
      <w:b/>
      <w:sz w:val="32"/>
      <w:szCs w:val="32"/>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097">
    <w:name w:val="Table Normal"/>
    <w:next w:val="style4097"/>
    <w:qFormat/>
    <w:uiPriority w:val="0"/>
    <w:pPr/>
    <w:rPr/>
    <w:tblPr>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2272</Words>
  <Pages>6</Pages>
  <Characters>2417</Characters>
  <Application>WPS Office</Application>
  <DocSecurity>0</DocSecurity>
  <Paragraphs>179</Paragraphs>
  <ScaleCrop>false</ScaleCrop>
  <LinksUpToDate>false</LinksUpToDate>
  <CharactersWithSpaces>2463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2023-04-13T05:09:00Z</dcterms:created>
  <dc:creator>vanilla</dc:creator>
  <lastModifiedBy>YAL-AL10</lastModifiedBy>
  <lastPrinted>2023-12-11T07:05:00Z</lastPrinted>
  <dcterms:modified xsi:type="dcterms:W3CDTF">2024-01-05T07:08:02Z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D1410F65B5CA4D48AA12BED7917E9F5C_13</vt:lpwstr>
  </property>
</Properties>
</file>