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both"/>
        <w:rPr>
          <w:rFonts w:ascii="方正小标宋简体" w:cs="方正小标宋简体" w:eastAsia="方正小标宋简体" w:hAnsi="方正小标宋简体" w:hint="default"/>
          <w:sz w:val="32"/>
          <w:szCs w:val="40"/>
          <w:lang w:val="en-US" w:eastAsia="zh-CN"/>
        </w:rPr>
      </w:pPr>
      <w:r>
        <w:rPr>
          <w:rFonts w:ascii="黑体" w:cs="黑体" w:eastAsia="黑体" w:hAnsi="黑体" w:hint="eastAsia"/>
          <w:sz w:val="32"/>
          <w:szCs w:val="40"/>
          <w:lang w:val="en-US" w:eastAsia="zh-CN"/>
        </w:rPr>
        <w:t>附件</w:t>
      </w:r>
      <w:r>
        <w:rPr>
          <w:rFonts w:ascii="黑体" w:cs="黑体" w:eastAsia="黑体" w:hAnsi="黑体" w:hint="default"/>
          <w:sz w:val="32"/>
          <w:szCs w:val="40"/>
          <w:lang w:val="en-US" w:eastAsia="zh-CN"/>
        </w:rPr>
        <w:t>2</w:t>
      </w:r>
    </w:p>
    <w:p>
      <w:pPr>
        <w:pStyle w:val="style0"/>
        <w:jc w:val="center"/>
        <w:rPr>
          <w:rFonts w:ascii="方正小标宋简体" w:cs="方正小标宋简体" w:eastAsia="方正小标宋简体" w:hAnsi="方正小标宋简体" w:hint="eastAsia"/>
          <w:sz w:val="32"/>
          <w:szCs w:val="40"/>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jc w:val="center"/>
        <w:textAlignment w:val="auto"/>
        <w:rPr>
          <w:rFonts w:ascii="方正小标宋简体" w:cs="方正小标宋简体" w:eastAsia="方正小标宋简体" w:hAnsi="方正小标宋简体" w:hint="eastAsia"/>
          <w:sz w:val="44"/>
          <w:szCs w:val="52"/>
        </w:rPr>
      </w:pPr>
      <w:r>
        <w:rPr>
          <w:rFonts w:ascii="方正小标宋简体" w:cs="方正小标宋简体" w:eastAsia="方正小标宋简体" w:hAnsi="方正小标宋简体" w:hint="eastAsia"/>
          <w:sz w:val="44"/>
          <w:szCs w:val="52"/>
          <w:lang w:eastAsia="zh-CN"/>
        </w:rPr>
        <w:t>湛江经济技术开发区</w:t>
      </w:r>
      <w:r>
        <w:rPr>
          <w:rFonts w:ascii="方正小标宋简体" w:cs="方正小标宋简体" w:eastAsia="方正小标宋简体" w:hAnsi="方正小标宋简体" w:hint="eastAsia"/>
          <w:sz w:val="44"/>
          <w:szCs w:val="52"/>
        </w:rPr>
        <w:t>非学科类校外培训机构</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jc w:val="center"/>
        <w:textAlignment w:val="auto"/>
        <w:rPr>
          <w:rFonts w:ascii="方正小标宋简体" w:cs="方正小标宋简体" w:eastAsia="方正小标宋简体" w:hAnsi="方正小标宋简体" w:hint="eastAsia"/>
          <w:sz w:val="44"/>
          <w:szCs w:val="52"/>
        </w:rPr>
      </w:pPr>
      <w:r>
        <w:rPr>
          <w:rFonts w:ascii="方正小标宋简体" w:cs="方正小标宋简体" w:eastAsia="方正小标宋简体" w:hAnsi="方正小标宋简体" w:hint="eastAsia"/>
          <w:sz w:val="44"/>
          <w:szCs w:val="52"/>
        </w:rPr>
        <w:t>正式设立审批办事指南</w:t>
      </w:r>
    </w:p>
    <w:p>
      <w:pPr>
        <w:pStyle w:val="style0"/>
        <w:ind w:firstLine="640" w:firstLineChars="200"/>
        <w:rPr>
          <w:rFonts w:ascii="黑体" w:cs="黑体" w:eastAsia="黑体" w:hAnsi="黑体" w:hint="eastAsia"/>
          <w:sz w:val="32"/>
          <w:szCs w:val="40"/>
        </w:rPr>
      </w:pPr>
    </w:p>
    <w:p>
      <w:pPr>
        <w:pStyle w:val="style0"/>
        <w:ind w:firstLine="640" w:firstLineChars="200"/>
        <w:rPr>
          <w:rFonts w:ascii="黑体" w:cs="黑体" w:eastAsia="黑体" w:hAnsi="黑体" w:hint="eastAsia"/>
          <w:sz w:val="32"/>
          <w:szCs w:val="40"/>
        </w:rPr>
      </w:pPr>
      <w:r>
        <w:rPr>
          <w:rFonts w:ascii="黑体" w:cs="黑体" w:eastAsia="黑体" w:hAnsi="黑体" w:hint="eastAsia"/>
          <w:sz w:val="32"/>
          <w:szCs w:val="40"/>
        </w:rPr>
        <w:t>一、受理范围</w:t>
      </w:r>
    </w:p>
    <w:p>
      <w:pPr>
        <w:pStyle w:val="style0"/>
        <w:ind w:firstLine="640" w:firstLineChars="200"/>
        <w:rPr>
          <w:rFonts w:ascii="仿宋_GB2312" w:cs="仿宋_GB2312" w:eastAsia="仿宋_GB2312" w:hAnsi="仿宋_GB2312" w:hint="eastAsia"/>
          <w:sz w:val="32"/>
          <w:szCs w:val="40"/>
        </w:rPr>
      </w:pPr>
      <w:r>
        <w:rPr>
          <w:rFonts w:ascii="仿宋_GB2312" w:cs="仿宋_GB2312" w:eastAsia="仿宋_GB2312" w:hAnsi="仿宋_GB2312" w:hint="eastAsia"/>
          <w:sz w:val="32"/>
          <w:szCs w:val="40"/>
          <w:lang w:eastAsia="zh-CN"/>
        </w:rPr>
        <w:t>（一）</w:t>
      </w:r>
      <w:r>
        <w:rPr>
          <w:rFonts w:ascii="仿宋_GB2312" w:cs="仿宋_GB2312" w:eastAsia="仿宋_GB2312" w:hAnsi="仿宋_GB2312" w:hint="eastAsia"/>
          <w:sz w:val="32"/>
          <w:szCs w:val="40"/>
        </w:rPr>
        <w:t>具备非学科类</w:t>
      </w:r>
      <w:r>
        <w:rPr>
          <w:rFonts w:ascii="仿宋_GB2312" w:cs="仿宋_GB2312" w:eastAsia="仿宋_GB2312" w:hAnsi="仿宋_GB2312" w:hint="eastAsia"/>
          <w:sz w:val="32"/>
          <w:szCs w:val="40"/>
          <w:lang w:eastAsia="zh-CN"/>
        </w:rPr>
        <w:t>线下</w:t>
      </w:r>
      <w:r>
        <w:rPr>
          <w:rFonts w:ascii="仿宋_GB2312" w:cs="仿宋_GB2312" w:eastAsia="仿宋_GB2312" w:hAnsi="仿宋_GB2312" w:hint="eastAsia"/>
          <w:sz w:val="32"/>
          <w:szCs w:val="40"/>
        </w:rPr>
        <w:t>校外培训机构正式设立审批申请条件的个人或企业。</w:t>
      </w:r>
    </w:p>
    <w:p>
      <w:pPr>
        <w:pStyle w:val="style0"/>
        <w:ind w:firstLine="640" w:firstLineChars="200"/>
        <w:rPr>
          <w:rFonts w:ascii="仿宋_GB2312" w:cs="仿宋_GB2312" w:eastAsia="仿宋_GB2312" w:hAnsi="仿宋_GB2312" w:hint="eastAsia"/>
          <w:sz w:val="32"/>
          <w:szCs w:val="40"/>
        </w:rPr>
      </w:pPr>
      <w:r>
        <w:rPr>
          <w:rFonts w:ascii="仿宋_GB2312" w:cs="仿宋_GB2312" w:eastAsia="仿宋_GB2312" w:hAnsi="仿宋_GB2312" w:hint="eastAsia"/>
          <w:sz w:val="32"/>
          <w:szCs w:val="40"/>
          <w:lang w:eastAsia="zh-CN"/>
        </w:rPr>
        <w:t>（二）</w:t>
      </w:r>
      <w:r>
        <w:rPr>
          <w:rFonts w:ascii="仿宋_GB2312" w:cs="仿宋_GB2312" w:eastAsia="仿宋_GB2312" w:hAnsi="仿宋_GB2312" w:hint="eastAsia"/>
          <w:sz w:val="32"/>
          <w:szCs w:val="40"/>
        </w:rPr>
        <w:t>符合下列全部条件，可提出申请：</w:t>
      </w:r>
    </w:p>
    <w:p>
      <w:pPr>
        <w:pStyle w:val="style0"/>
        <w:ind w:firstLine="640" w:firstLineChars="200"/>
        <w:rPr>
          <w:rFonts w:ascii="仿宋_GB2312" w:cs="仿宋_GB2312" w:eastAsia="仿宋_GB2312" w:hAnsi="仿宋_GB2312" w:hint="eastAsia"/>
          <w:sz w:val="32"/>
          <w:szCs w:val="40"/>
        </w:rPr>
      </w:pPr>
      <w:r>
        <w:rPr>
          <w:rFonts w:ascii="仿宋_GB2312" w:cs="仿宋_GB2312" w:eastAsia="仿宋_GB2312" w:hAnsi="仿宋_GB2312" w:hint="eastAsia"/>
          <w:sz w:val="32"/>
          <w:szCs w:val="40"/>
        </w:rPr>
        <w:t>根据《中华人民共和国民办教育促进法》第十条、第十一条和《广东省非学科类校外培训机构办学许可证审批流程指引（试行）》，申办需满足以下条件：</w:t>
      </w:r>
    </w:p>
    <w:p>
      <w:pPr>
        <w:pStyle w:val="style0"/>
        <w:ind w:firstLine="640" w:firstLineChars="200"/>
        <w:rPr>
          <w:rFonts w:ascii="仿宋_GB2312" w:cs="仿宋_GB2312" w:eastAsia="仿宋_GB2312" w:hAnsi="仿宋_GB2312" w:hint="eastAsia"/>
          <w:sz w:val="32"/>
          <w:szCs w:val="40"/>
        </w:rPr>
      </w:pPr>
      <w:r>
        <w:rPr>
          <w:rFonts w:ascii="仿宋_GB2312" w:cs="仿宋_GB2312" w:eastAsia="仿宋_GB2312" w:hAnsi="仿宋_GB2312" w:hint="eastAsia"/>
          <w:sz w:val="32"/>
          <w:szCs w:val="40"/>
          <w:lang w:val="en-US" w:eastAsia="zh-CN"/>
        </w:rPr>
        <w:t>1.</w:t>
      </w:r>
      <w:r>
        <w:rPr>
          <w:rFonts w:ascii="仿宋_GB2312" w:cs="仿宋_GB2312" w:eastAsia="仿宋_GB2312" w:hAnsi="仿宋_GB2312" w:hint="eastAsia"/>
          <w:sz w:val="32"/>
          <w:szCs w:val="40"/>
        </w:rPr>
        <w:t>举办非学科类校外培训机构的社会组织，应当具有法人资格。举办非学科类校外培训机构的个人，应当具有政治权利和完全民事行为能力。非学科类校外培训机构应当具备法人条件。</w:t>
      </w:r>
    </w:p>
    <w:p>
      <w:pPr>
        <w:pStyle w:val="style0"/>
        <w:ind w:firstLine="640" w:firstLineChars="200"/>
        <w:rPr>
          <w:rFonts w:ascii="仿宋_GB2312" w:cs="仿宋_GB2312" w:eastAsia="仿宋_GB2312" w:hAnsi="仿宋_GB2312" w:hint="eastAsia"/>
          <w:sz w:val="32"/>
          <w:szCs w:val="40"/>
        </w:rPr>
      </w:pPr>
      <w:r>
        <w:rPr>
          <w:rFonts w:ascii="仿宋_GB2312" w:cs="仿宋_GB2312" w:eastAsia="仿宋_GB2312" w:hAnsi="仿宋_GB2312" w:hint="eastAsia"/>
          <w:sz w:val="32"/>
          <w:szCs w:val="40"/>
          <w:lang w:val="en-US" w:eastAsia="zh-CN"/>
        </w:rPr>
        <w:t>2.</w:t>
      </w:r>
      <w:r>
        <w:rPr>
          <w:rFonts w:ascii="仿宋_GB2312" w:cs="仿宋_GB2312" w:eastAsia="仿宋_GB2312" w:hAnsi="仿宋_GB2312" w:hint="eastAsia"/>
          <w:sz w:val="32"/>
          <w:szCs w:val="40"/>
        </w:rPr>
        <w:t>设立非学科类校外培训机构应当符合当地教育发展的需求，具备教育法和其他有关</w:t>
      </w:r>
      <w:r>
        <w:rPr>
          <w:rFonts w:ascii="仿宋_GB2312" w:cs="仿宋_GB2312" w:eastAsia="仿宋_GB2312" w:hAnsi="仿宋_GB2312" w:hint="eastAsia"/>
          <w:sz w:val="32"/>
          <w:szCs w:val="40"/>
          <w:lang w:eastAsia="zh-CN"/>
        </w:rPr>
        <w:t>法律法规</w:t>
      </w:r>
      <w:r>
        <w:rPr>
          <w:rFonts w:ascii="仿宋_GB2312" w:cs="仿宋_GB2312" w:eastAsia="仿宋_GB2312" w:hAnsi="仿宋_GB2312" w:hint="eastAsia"/>
          <w:sz w:val="32"/>
          <w:szCs w:val="40"/>
        </w:rPr>
        <w:t>规定的条件。民办学校的设置标准参照同级同类公办学校的设置标准执行。</w:t>
      </w:r>
    </w:p>
    <w:p>
      <w:pPr>
        <w:pStyle w:val="style0"/>
        <w:ind w:firstLine="640" w:firstLineChars="200"/>
        <w:rPr>
          <w:rFonts w:ascii="仿宋_GB2312" w:cs="仿宋_GB2312" w:eastAsia="仿宋_GB2312" w:hAnsi="仿宋_GB2312" w:hint="eastAsia"/>
          <w:sz w:val="32"/>
          <w:szCs w:val="40"/>
        </w:rPr>
      </w:pPr>
      <w:r>
        <w:rPr>
          <w:rFonts w:ascii="仿宋_GB2312" w:cs="仿宋_GB2312" w:eastAsia="仿宋_GB2312" w:hAnsi="仿宋_GB2312" w:hint="eastAsia"/>
          <w:sz w:val="32"/>
          <w:szCs w:val="40"/>
          <w:lang w:val="en-US" w:eastAsia="zh-CN"/>
        </w:rPr>
        <w:t>3.</w:t>
      </w:r>
      <w:r>
        <w:rPr>
          <w:rFonts w:ascii="仿宋_GB2312" w:cs="仿宋_GB2312" w:eastAsia="仿宋_GB2312" w:hAnsi="仿宋_GB2312" w:hint="eastAsia"/>
          <w:sz w:val="32"/>
          <w:szCs w:val="40"/>
        </w:rPr>
        <w:t>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劳动和社会保障行政部门按照国家规定的权限审批，并抄送同级教育行政部门备案。</w:t>
      </w:r>
    </w:p>
    <w:p>
      <w:pPr>
        <w:pStyle w:val="style0"/>
        <w:ind w:firstLine="640" w:firstLineChars="200"/>
        <w:rPr>
          <w:rFonts w:ascii="仿宋_GB2312" w:cs="仿宋_GB2312" w:eastAsia="仿宋_GB2312" w:hAnsi="仿宋_GB2312" w:hint="eastAsia"/>
          <w:sz w:val="32"/>
          <w:szCs w:val="40"/>
        </w:rPr>
      </w:pPr>
      <w:r>
        <w:rPr>
          <w:rFonts w:ascii="仿宋_GB2312" w:cs="仿宋_GB2312" w:eastAsia="仿宋_GB2312" w:hAnsi="仿宋_GB2312" w:hint="eastAsia"/>
          <w:sz w:val="32"/>
          <w:szCs w:val="40"/>
          <w:lang w:val="en-US" w:eastAsia="zh-CN"/>
        </w:rPr>
        <w:t>4.</w:t>
      </w:r>
      <w:r>
        <w:rPr>
          <w:rFonts w:ascii="仿宋_GB2312" w:cs="仿宋_GB2312" w:eastAsia="仿宋_GB2312" w:hAnsi="仿宋_GB2312" w:hint="eastAsia"/>
          <w:sz w:val="32"/>
          <w:szCs w:val="40"/>
        </w:rPr>
        <w:t>利用非国家财政性经费，通过线下方式面向中小学在校学生，实施体育、文化艺术、科技等非学科类培训的校外培训机构，由</w:t>
      </w:r>
      <w:r>
        <w:rPr>
          <w:rFonts w:ascii="仿宋_GB2312" w:cs="仿宋_GB2312" w:eastAsia="仿宋_GB2312" w:hAnsi="仿宋_GB2312" w:hint="eastAsia"/>
          <w:sz w:val="32"/>
          <w:szCs w:val="40"/>
          <w:lang w:eastAsia="zh-CN"/>
        </w:rPr>
        <w:t>区</w:t>
      </w:r>
      <w:r>
        <w:rPr>
          <w:rFonts w:ascii="仿宋_GB2312" w:cs="仿宋_GB2312" w:eastAsia="仿宋_GB2312" w:hAnsi="仿宋_GB2312" w:hint="eastAsia"/>
          <w:sz w:val="32"/>
          <w:szCs w:val="40"/>
        </w:rPr>
        <w:t>教育</w:t>
      </w:r>
      <w:r>
        <w:rPr>
          <w:rFonts w:ascii="仿宋_GB2312" w:cs="仿宋_GB2312" w:eastAsia="仿宋_GB2312" w:hAnsi="仿宋_GB2312" w:hint="eastAsia"/>
          <w:sz w:val="32"/>
          <w:szCs w:val="40"/>
          <w:lang w:eastAsia="zh-CN"/>
        </w:rPr>
        <w:t>局</w:t>
      </w:r>
      <w:r>
        <w:rPr>
          <w:rFonts w:ascii="仿宋_GB2312" w:cs="仿宋_GB2312" w:eastAsia="仿宋_GB2312" w:hAnsi="仿宋_GB2312" w:hint="eastAsia"/>
          <w:sz w:val="32"/>
          <w:szCs w:val="40"/>
        </w:rPr>
        <w:t>会同科技、文化旅游、体育行政部门受理申请及审批。</w:t>
      </w:r>
    </w:p>
    <w:p>
      <w:pPr>
        <w:pStyle w:val="style0"/>
        <w:ind w:firstLine="640" w:firstLineChars="200"/>
        <w:rPr>
          <w:rFonts w:ascii="黑体" w:cs="黑体" w:eastAsia="黑体" w:hAnsi="黑体" w:hint="eastAsia"/>
          <w:sz w:val="32"/>
          <w:szCs w:val="40"/>
          <w:lang w:val="en-US" w:eastAsia="zh-CN"/>
        </w:rPr>
      </w:pPr>
      <w:r>
        <w:rPr>
          <w:rFonts w:ascii="黑体" w:cs="黑体" w:eastAsia="黑体" w:hAnsi="黑体" w:hint="eastAsia"/>
          <w:sz w:val="32"/>
          <w:szCs w:val="40"/>
          <w:lang w:val="en-US" w:eastAsia="zh-CN"/>
        </w:rPr>
        <w:t>二、实施机关</w:t>
      </w:r>
    </w:p>
    <w:p>
      <w:pPr>
        <w:pStyle w:val="style0"/>
        <w:ind w:firstLine="640" w:firstLineChars="200"/>
        <w:rPr>
          <w:rFonts w:ascii="仿宋_GB2312" w:cs="仿宋_GB2312" w:eastAsia="仿宋_GB2312" w:hAnsi="仿宋_GB2312" w:hint="eastAsia"/>
          <w:sz w:val="32"/>
          <w:szCs w:val="40"/>
          <w:lang w:val="en-US" w:eastAsia="zh-CN"/>
        </w:rPr>
      </w:pPr>
      <w:r>
        <w:rPr>
          <w:rFonts w:ascii="仿宋_GB2312" w:cs="仿宋_GB2312" w:eastAsia="仿宋_GB2312" w:hAnsi="仿宋_GB2312" w:hint="eastAsia"/>
          <w:sz w:val="32"/>
          <w:szCs w:val="40"/>
          <w:lang w:val="en-US" w:eastAsia="zh-CN"/>
        </w:rPr>
        <w:t>（一）本行政许可办理机关为：区县级或以上</w:t>
      </w:r>
      <w:r>
        <w:rPr>
          <w:rFonts w:ascii="仿宋_GB2312" w:cs="仿宋_GB2312" w:eastAsia="仿宋_GB2312" w:hAnsi="仿宋_GB2312" w:hint="eastAsia"/>
          <w:color w:val="auto"/>
          <w:sz w:val="32"/>
          <w:szCs w:val="40"/>
          <w:lang w:val="en-US" w:eastAsia="zh-CN"/>
        </w:rPr>
        <w:t>文化艺术、体育、科技、教育部</w:t>
      </w:r>
      <w:r>
        <w:rPr>
          <w:rFonts w:ascii="仿宋_GB2312" w:cs="仿宋_GB2312" w:eastAsia="仿宋_GB2312" w:hAnsi="仿宋_GB2312" w:hint="eastAsia"/>
          <w:sz w:val="32"/>
          <w:szCs w:val="40"/>
          <w:lang w:val="en-US" w:eastAsia="zh-CN"/>
        </w:rPr>
        <w:t>门。</w:t>
      </w:r>
    </w:p>
    <w:p>
      <w:pPr>
        <w:pStyle w:val="style0"/>
        <w:ind w:firstLine="640" w:firstLineChars="200"/>
        <w:rPr>
          <w:rFonts w:ascii="仿宋_GB2312" w:cs="仿宋_GB2312" w:eastAsia="仿宋_GB2312" w:hAnsi="仿宋_GB2312" w:hint="eastAsia"/>
          <w:sz w:val="32"/>
          <w:szCs w:val="40"/>
          <w:lang w:val="en-US" w:eastAsia="zh-CN"/>
        </w:rPr>
      </w:pPr>
      <w:r>
        <w:rPr>
          <w:rFonts w:ascii="仿宋_GB2312" w:cs="仿宋_GB2312" w:eastAsia="仿宋_GB2312" w:hAnsi="仿宋_GB2312" w:hint="eastAsia"/>
          <w:sz w:val="32"/>
          <w:szCs w:val="40"/>
          <w:lang w:val="en-US" w:eastAsia="zh-CN"/>
        </w:rPr>
        <w:t>（二）权责划分：</w:t>
      </w:r>
    </w:p>
    <w:p>
      <w:pPr>
        <w:pStyle w:val="style0"/>
        <w:ind w:firstLine="640" w:firstLineChars="200"/>
        <w:rPr>
          <w:rFonts w:ascii="仿宋_GB2312" w:cs="仿宋_GB2312" w:eastAsia="仿宋_GB2312" w:hAnsi="仿宋_GB2312" w:hint="eastAsia"/>
          <w:sz w:val="32"/>
          <w:szCs w:val="40"/>
          <w:lang w:val="en-US" w:eastAsia="zh-CN"/>
        </w:rPr>
      </w:pPr>
      <w:r>
        <w:rPr>
          <w:rFonts w:ascii="仿宋_GB2312" w:cs="仿宋_GB2312" w:eastAsia="仿宋_GB2312" w:hAnsi="仿宋_GB2312" w:hint="eastAsia"/>
          <w:sz w:val="32"/>
          <w:szCs w:val="40"/>
          <w:lang w:val="en-US" w:eastAsia="zh-CN"/>
        </w:rPr>
        <w:t>1.利用非国家财政性经费，通过线下方式面向中小学在校学生，实施体育、文化艺术、科技等非学科类培训的校外培训机构，由属地县（市、区）行政审批局或者教育行政部门会同科技、文化旅游、体育行政部门受理申请及审批。</w:t>
      </w:r>
    </w:p>
    <w:p>
      <w:pPr>
        <w:pStyle w:val="style0"/>
        <w:ind w:firstLine="640" w:firstLineChars="200"/>
        <w:rPr>
          <w:rFonts w:ascii="仿宋_GB2312" w:cs="仿宋_GB2312" w:eastAsia="仿宋_GB2312" w:hAnsi="仿宋_GB2312" w:hint="eastAsia"/>
          <w:sz w:val="32"/>
          <w:szCs w:val="40"/>
          <w:lang w:val="en-US" w:eastAsia="zh-CN"/>
        </w:rPr>
      </w:pPr>
      <w:r>
        <w:rPr>
          <w:rFonts w:ascii="仿宋_GB2312" w:cs="仿宋_GB2312" w:eastAsia="仿宋_GB2312" w:hAnsi="仿宋_GB2312" w:hint="eastAsia"/>
          <w:sz w:val="32"/>
          <w:szCs w:val="40"/>
          <w:lang w:val="en-US" w:eastAsia="zh-CN"/>
        </w:rPr>
        <w:t>2.仅利用互联网技术实施线上非学科类培训活动的培训机构，由省教育厅会同相关部门受理设立申请及审核，实施审批。具体由省教育厅会同省直有关部门组织实施。</w:t>
      </w:r>
    </w:p>
    <w:p>
      <w:pPr>
        <w:pStyle w:val="style0"/>
        <w:ind w:firstLine="640" w:firstLineChars="200"/>
        <w:rPr>
          <w:rFonts w:ascii="仿宋_GB2312" w:cs="仿宋_GB2312" w:eastAsia="仿宋_GB2312" w:hAnsi="仿宋_GB2312" w:hint="eastAsia"/>
          <w:color w:val="auto"/>
          <w:sz w:val="32"/>
          <w:szCs w:val="40"/>
          <w:lang w:val="en-US" w:eastAsia="zh-CN"/>
        </w:rPr>
      </w:pPr>
      <w:r>
        <w:rPr>
          <w:rFonts w:ascii="仿宋_GB2312" w:cs="仿宋_GB2312" w:eastAsia="仿宋_GB2312" w:hAnsi="仿宋_GB2312" w:hint="eastAsia"/>
          <w:sz w:val="32"/>
          <w:szCs w:val="40"/>
          <w:lang w:val="en-US" w:eastAsia="zh-CN"/>
        </w:rPr>
        <w:t>据此，本事项由湛江经济技术开发区教育局会同</w:t>
      </w:r>
      <w:r>
        <w:rPr>
          <w:rFonts w:ascii="仿宋_GB2312" w:cs="仿宋_GB2312" w:eastAsia="仿宋_GB2312" w:hAnsi="仿宋_GB2312" w:hint="eastAsia"/>
          <w:color w:val="auto"/>
          <w:sz w:val="32"/>
          <w:szCs w:val="40"/>
          <w:lang w:val="en-US" w:eastAsia="zh-CN"/>
        </w:rPr>
        <w:t xml:space="preserve">文化艺术、体育、科技部门实施。 </w:t>
      </w:r>
    </w:p>
    <w:p>
      <w:pPr>
        <w:pStyle w:val="style0"/>
        <w:numPr>
          <w:ilvl w:val="0"/>
          <w:numId w:val="0"/>
        </w:numPr>
        <w:ind w:firstLine="640" w:firstLineChars="200"/>
        <w:rPr>
          <w:rFonts w:ascii="黑体" w:cs="黑体" w:eastAsia="黑体" w:hAnsi="黑体" w:hint="eastAsia"/>
          <w:sz w:val="32"/>
          <w:szCs w:val="40"/>
          <w:lang w:val="en-US" w:eastAsia="zh-CN"/>
        </w:rPr>
      </w:pPr>
    </w:p>
    <w:bookmarkStart w:id="0" w:name="_GoBack"/>
    <w:bookmarkEnd w:id="0"/>
    <w:p>
      <w:pPr>
        <w:pStyle w:val="style0"/>
        <w:numPr>
          <w:ilvl w:val="0"/>
          <w:numId w:val="0"/>
        </w:numPr>
        <w:ind w:firstLine="640" w:firstLineChars="200"/>
        <w:rPr>
          <w:rFonts w:ascii="黑体" w:cs="黑体" w:eastAsia="黑体" w:hAnsi="黑体" w:hint="eastAsia"/>
          <w:sz w:val="32"/>
          <w:szCs w:val="40"/>
          <w:lang w:val="en-US" w:eastAsia="zh-CN"/>
        </w:rPr>
      </w:pPr>
      <w:r>
        <w:rPr>
          <w:rFonts w:ascii="黑体" w:cs="黑体" w:eastAsia="黑体" w:hAnsi="黑体" w:hint="eastAsia"/>
          <w:sz w:val="32"/>
          <w:szCs w:val="40"/>
          <w:lang w:val="en-US" w:eastAsia="zh-CN"/>
        </w:rPr>
        <w:t>三、审批依据</w:t>
      </w:r>
    </w:p>
    <w:tbl>
      <w:tblPr>
        <w:tblStyle w:val="style154"/>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60"/>
        <w:gridCol w:w="7830"/>
      </w:tblGrid>
      <w:tr>
        <w:trPr>
          <w:trHeight w:val="5344" w:hRule="atLeast"/>
        </w:trPr>
        <w:tc>
          <w:tcPr>
            <w:tcW w:w="960" w:type="dxa"/>
            <w:tcBorders/>
          </w:tcPr>
          <w:p>
            <w:pPr>
              <w:pStyle w:val="style0"/>
              <w:numPr>
                <w:ilvl w:val="0"/>
                <w:numId w:val="0"/>
              </w:numPr>
              <w:rPr>
                <w:rFonts w:ascii="黑体" w:cs="黑体" w:eastAsia="黑体" w:hAnsi="黑体" w:hint="eastAsia"/>
                <w:sz w:val="32"/>
                <w:szCs w:val="40"/>
                <w:vertAlign w:val="baseline"/>
                <w:lang w:val="en-US" w:eastAsia="zh-CN"/>
              </w:rPr>
            </w:pPr>
          </w:p>
          <w:p>
            <w:pPr>
              <w:pStyle w:val="style0"/>
              <w:bidi w:val="false"/>
              <w:rPr>
                <w:rFonts w:ascii="Calibri" w:cs="宋体" w:eastAsia="宋体" w:hAnsi="Calibri" w:hint="eastAsia"/>
                <w:kern w:val="2"/>
                <w:sz w:val="21"/>
                <w:szCs w:val="24"/>
                <w:lang w:val="en-US" w:bidi="ar-SA" w:eastAsia="zh-CN"/>
              </w:rPr>
            </w:pPr>
          </w:p>
          <w:p>
            <w:pPr>
              <w:pStyle w:val="style0"/>
              <w:bidi w:val="false"/>
              <w:rPr>
                <w:rFonts w:hint="eastAsia"/>
                <w:lang w:val="en-US" w:eastAsia="zh-CN"/>
              </w:rPr>
            </w:pPr>
          </w:p>
          <w:p>
            <w:pPr>
              <w:pStyle w:val="style0"/>
              <w:bidi w:val="false"/>
              <w:rPr>
                <w:rFonts w:hint="eastAsia"/>
                <w:lang w:val="en-US" w:eastAsia="zh-CN"/>
              </w:rPr>
            </w:pPr>
          </w:p>
          <w:p>
            <w:pPr>
              <w:pStyle w:val="style0"/>
              <w:bidi w:val="false"/>
              <w:rPr>
                <w:rFonts w:hint="eastAsia"/>
                <w:lang w:val="en-US" w:eastAsia="zh-CN"/>
              </w:rPr>
            </w:pPr>
          </w:p>
          <w:p>
            <w:pPr>
              <w:pStyle w:val="style0"/>
              <w:bidi w:val="false"/>
              <w:rPr>
                <w:rFonts w:hint="eastAsia"/>
                <w:lang w:val="en-US" w:eastAsia="zh-CN"/>
              </w:rPr>
            </w:pPr>
          </w:p>
          <w:p>
            <w:pPr>
              <w:pStyle w:val="style0"/>
              <w:bidi w:val="false"/>
              <w:rPr>
                <w:rFonts w:hint="eastAsia"/>
                <w:lang w:val="en-US" w:eastAsia="zh-CN"/>
              </w:rPr>
            </w:pPr>
          </w:p>
          <w:p>
            <w:pPr>
              <w:pStyle w:val="style0"/>
              <w:bidi w:val="false"/>
              <w:rPr>
                <w:rFonts w:hint="eastAsia"/>
                <w:lang w:val="en-US" w:eastAsia="zh-CN"/>
              </w:rPr>
            </w:pPr>
          </w:p>
          <w:p>
            <w:pPr>
              <w:pStyle w:val="style0"/>
              <w:bidi w:val="false"/>
              <w:rPr>
                <w:rFonts w:hint="eastAsia"/>
                <w:lang w:val="en-US" w:eastAsia="zh-CN"/>
              </w:rPr>
            </w:pPr>
          </w:p>
          <w:p>
            <w:pPr>
              <w:pStyle w:val="style0"/>
              <w:bidi w:val="false"/>
              <w:rPr>
                <w:rFonts w:hint="eastAsia"/>
                <w:lang w:val="en-US" w:eastAsia="zh-CN"/>
              </w:rPr>
            </w:pPr>
            <w:r>
              <w:rPr>
                <w:rFonts w:ascii="黑体" w:cs="黑体" w:eastAsia="黑体" w:hAnsi="黑体" w:hint="eastAsia"/>
                <w:sz w:val="24"/>
                <w:szCs w:val="32"/>
                <w:lang w:val="en-US" w:eastAsia="zh-CN"/>
              </w:rPr>
              <w:t>依  据</w:t>
            </w:r>
          </w:p>
          <w:p>
            <w:pPr>
              <w:pStyle w:val="style0"/>
              <w:bidi w:val="false"/>
              <w:rPr>
                <w:rFonts w:hint="eastAsia"/>
                <w:lang w:val="en-US" w:eastAsia="zh-CN"/>
              </w:rPr>
            </w:pPr>
          </w:p>
          <w:p>
            <w:pPr>
              <w:pStyle w:val="style0"/>
              <w:bidi w:val="false"/>
              <w:rPr>
                <w:rFonts w:hint="eastAsia"/>
                <w:lang w:val="en-US" w:eastAsia="zh-CN"/>
              </w:rPr>
            </w:pPr>
          </w:p>
          <w:p>
            <w:pPr>
              <w:pStyle w:val="style0"/>
              <w:bidi w:val="false"/>
              <w:rPr>
                <w:rFonts w:hint="eastAsia"/>
                <w:lang w:val="en-US" w:eastAsia="zh-CN"/>
              </w:rPr>
            </w:pPr>
          </w:p>
          <w:p>
            <w:pPr>
              <w:pStyle w:val="style0"/>
              <w:bidi w:val="false"/>
              <w:jc w:val="left"/>
              <w:rPr>
                <w:rFonts w:hint="eastAsia"/>
                <w:lang w:val="en-US" w:eastAsia="zh-CN"/>
              </w:rPr>
            </w:pPr>
          </w:p>
        </w:tc>
        <w:tc>
          <w:tcPr>
            <w:tcW w:w="7830" w:type="dxa"/>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400"/>
              <w:textAlignment w:val="auto"/>
              <w:rPr>
                <w:rFonts w:ascii="仿宋_GB2312" w:cs="仿宋_GB2312" w:eastAsia="仿宋_GB2312" w:hAnsi="仿宋_GB2312" w:hint="eastAsia"/>
                <w:sz w:val="24"/>
                <w:szCs w:val="32"/>
                <w:lang w:val="en-US" w:eastAsia="zh-CN"/>
              </w:rPr>
            </w:pPr>
            <w:r>
              <w:rPr>
                <w:rFonts w:ascii="仿宋_GB2312" w:cs="仿宋_GB2312" w:eastAsia="仿宋_GB2312" w:hAnsi="仿宋_GB2312" w:hint="eastAsia"/>
                <w:sz w:val="24"/>
                <w:szCs w:val="32"/>
                <w:lang w:val="en-US" w:eastAsia="zh-CN"/>
              </w:rPr>
              <w:t>《中华人民共和国民办教育促进法》</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tLeast" w:line="400"/>
              <w:textAlignment w:val="auto"/>
              <w:rPr>
                <w:rFonts w:ascii="仿宋_GB2312" w:cs="仿宋_GB2312" w:eastAsia="仿宋_GB2312" w:hAnsi="仿宋_GB2312" w:hint="eastAsia"/>
                <w:sz w:val="24"/>
                <w:szCs w:val="32"/>
                <w:lang w:val="en-US" w:eastAsia="zh-CN"/>
              </w:rPr>
            </w:pPr>
            <w:r>
              <w:rPr>
                <w:rFonts w:ascii="仿宋_GB2312" w:cs="仿宋_GB2312" w:eastAsia="仿宋_GB2312" w:hAnsi="仿宋_GB2312" w:hint="eastAsia"/>
                <w:sz w:val="24"/>
                <w:szCs w:val="32"/>
                <w:lang w:val="en-US" w:eastAsia="zh-CN"/>
              </w:rPr>
              <w:t>《中华人民共和国民办教育促进法实施条例》</w:t>
            </w:r>
          </w:p>
          <w:p>
            <w:pPr>
              <w:pStyle w:val="style0"/>
              <w:keepNext w:val="false"/>
              <w:keepLines w:val="false"/>
              <w:pageBreakBefore w:val="false"/>
              <w:widowControl w:val="false"/>
              <w:kinsoku/>
              <w:wordWrap/>
              <w:overflowPunct/>
              <w:topLinePunct w:val="false"/>
              <w:autoSpaceDE/>
              <w:autoSpaceDN/>
              <w:bidi w:val="false"/>
              <w:adjustRightInd/>
              <w:snapToGrid/>
              <w:spacing w:lineRule="atLeast" w:line="400"/>
              <w:textAlignment w:val="auto"/>
              <w:rPr>
                <w:rFonts w:ascii="仿宋_GB2312" w:cs="仿宋_GB2312" w:eastAsia="仿宋_GB2312" w:hAnsi="仿宋_GB2312" w:hint="eastAsia"/>
                <w:sz w:val="24"/>
                <w:szCs w:val="32"/>
                <w:lang w:val="en-US" w:eastAsia="zh-CN"/>
              </w:rPr>
            </w:pPr>
            <w:r>
              <w:rPr>
                <w:rFonts w:ascii="仿宋_GB2312" w:cs="仿宋_GB2312" w:eastAsia="仿宋_GB2312" w:hAnsi="仿宋_GB2312" w:hint="eastAsia"/>
                <w:sz w:val="24"/>
                <w:szCs w:val="32"/>
                <w:lang w:val="en-US" w:eastAsia="zh-CN"/>
              </w:rPr>
              <w:t>3.广东省科学技术厅 广东省教育厅关于印发《广东省科技类校外培训机构设置标准（试行）》的通知</w:t>
            </w:r>
          </w:p>
          <w:p>
            <w:pPr>
              <w:pStyle w:val="style0"/>
              <w:keepNext w:val="false"/>
              <w:keepLines w:val="false"/>
              <w:pageBreakBefore w:val="false"/>
              <w:widowControl w:val="false"/>
              <w:kinsoku/>
              <w:wordWrap/>
              <w:overflowPunct/>
              <w:topLinePunct w:val="false"/>
              <w:autoSpaceDE/>
              <w:autoSpaceDN/>
              <w:bidi w:val="false"/>
              <w:adjustRightInd/>
              <w:snapToGrid/>
              <w:spacing w:lineRule="atLeast" w:line="400"/>
              <w:textAlignment w:val="auto"/>
              <w:rPr>
                <w:rFonts w:ascii="仿宋_GB2312" w:cs="仿宋_GB2312" w:eastAsia="仿宋_GB2312" w:hAnsi="仿宋_GB2312" w:hint="eastAsia"/>
                <w:sz w:val="24"/>
                <w:szCs w:val="32"/>
                <w:lang w:val="en-US" w:eastAsia="zh-CN"/>
              </w:rPr>
            </w:pPr>
            <w:r>
              <w:rPr>
                <w:rFonts w:ascii="仿宋_GB2312" w:cs="仿宋_GB2312" w:eastAsia="仿宋_GB2312" w:hAnsi="仿宋_GB2312" w:hint="eastAsia"/>
                <w:sz w:val="24"/>
                <w:szCs w:val="32"/>
                <w:lang w:val="en-US" w:eastAsia="zh-CN"/>
              </w:rPr>
              <w:t>4.广东省体育教育局 广东省教育厅关于印发《广东省体育类校外培训机构设置标准（试行）》的通知</w:t>
            </w:r>
          </w:p>
          <w:p>
            <w:pPr>
              <w:pStyle w:val="style0"/>
              <w:keepNext w:val="false"/>
              <w:keepLines w:val="false"/>
              <w:pageBreakBefore w:val="false"/>
              <w:widowControl w:val="false"/>
              <w:kinsoku/>
              <w:wordWrap/>
              <w:overflowPunct/>
              <w:topLinePunct w:val="false"/>
              <w:autoSpaceDE/>
              <w:autoSpaceDN/>
              <w:bidi w:val="false"/>
              <w:adjustRightInd/>
              <w:snapToGrid/>
              <w:spacing w:lineRule="atLeast" w:line="400"/>
              <w:textAlignment w:val="auto"/>
              <w:rPr>
                <w:rFonts w:ascii="仿宋_GB2312" w:cs="仿宋_GB2312" w:eastAsia="仿宋_GB2312" w:hAnsi="仿宋_GB2312" w:hint="eastAsia"/>
                <w:sz w:val="24"/>
                <w:szCs w:val="32"/>
                <w:lang w:val="en-US" w:eastAsia="zh-CN"/>
              </w:rPr>
            </w:pPr>
            <w:r>
              <w:rPr>
                <w:rFonts w:ascii="仿宋_GB2312" w:cs="仿宋_GB2312" w:eastAsia="仿宋_GB2312" w:hAnsi="仿宋_GB2312" w:hint="eastAsia"/>
                <w:sz w:val="24"/>
                <w:szCs w:val="32"/>
                <w:lang w:val="en-US" w:eastAsia="zh-CN"/>
              </w:rPr>
              <w:t>5.广东省文化和旅游厅 广东省教育厅关于印发《广东省文化艺术类校外培训机构设置标准（试行）》的通知</w:t>
            </w:r>
          </w:p>
          <w:p>
            <w:pPr>
              <w:pStyle w:val="style0"/>
              <w:keepNext w:val="false"/>
              <w:keepLines w:val="false"/>
              <w:pageBreakBefore w:val="false"/>
              <w:widowControl w:val="false"/>
              <w:kinsoku/>
              <w:wordWrap/>
              <w:overflowPunct/>
              <w:topLinePunct w:val="false"/>
              <w:autoSpaceDE/>
              <w:autoSpaceDN/>
              <w:bidi w:val="false"/>
              <w:adjustRightInd/>
              <w:snapToGrid/>
              <w:spacing w:lineRule="atLeast" w:line="400"/>
              <w:textAlignment w:val="auto"/>
              <w:rPr>
                <w:rFonts w:ascii="仿宋_GB2312" w:cs="仿宋_GB2312" w:eastAsia="仿宋_GB2312" w:hAnsi="仿宋_GB2312" w:hint="eastAsia"/>
                <w:sz w:val="24"/>
                <w:szCs w:val="32"/>
                <w:lang w:val="en-US" w:eastAsia="zh-CN"/>
              </w:rPr>
            </w:pPr>
            <w:r>
              <w:rPr>
                <w:rFonts w:ascii="仿宋_GB2312" w:cs="仿宋_GB2312" w:eastAsia="仿宋_GB2312" w:hAnsi="仿宋_GB2312" w:hint="eastAsia"/>
                <w:sz w:val="24"/>
                <w:szCs w:val="32"/>
                <w:lang w:val="en-US" w:eastAsia="zh-CN"/>
              </w:rPr>
              <w:t>6.《广东省非学科类校外培训机构办学许可证审批流程指引（试行）》</w:t>
            </w:r>
          </w:p>
          <w:p>
            <w:pPr>
              <w:pStyle w:val="style0"/>
              <w:keepNext w:val="false"/>
              <w:keepLines w:val="false"/>
              <w:pageBreakBefore w:val="false"/>
              <w:widowControl w:val="false"/>
              <w:kinsoku/>
              <w:wordWrap/>
              <w:overflowPunct/>
              <w:topLinePunct w:val="false"/>
              <w:autoSpaceDE/>
              <w:autoSpaceDN/>
              <w:bidi w:val="false"/>
              <w:adjustRightInd/>
              <w:snapToGrid/>
              <w:spacing w:lineRule="atLeast" w:line="400"/>
              <w:textAlignment w:val="auto"/>
              <w:rPr>
                <w:rFonts w:ascii="仿宋_GB2312" w:cs="仿宋_GB2312" w:eastAsia="仿宋_GB2312" w:hAnsi="仿宋_GB2312" w:hint="eastAsia"/>
                <w:sz w:val="24"/>
                <w:szCs w:val="32"/>
                <w:lang w:val="en-US" w:eastAsia="zh-CN"/>
              </w:rPr>
            </w:pPr>
            <w:r>
              <w:rPr>
                <w:rFonts w:ascii="仿宋_GB2312" w:cs="仿宋_GB2312" w:eastAsia="仿宋_GB2312" w:hAnsi="仿宋_GB2312" w:hint="eastAsia"/>
                <w:sz w:val="24"/>
                <w:szCs w:val="32"/>
                <w:lang w:val="en-US" w:eastAsia="zh-CN"/>
              </w:rPr>
              <w:t>7.广东省教育厅 广东省人力资源和社会保障厅 广东省民政厅 广东省工商行政管理局关于印发《非营利性民办培训机构的监督管理办法》的通知</w:t>
            </w:r>
          </w:p>
          <w:p>
            <w:pPr>
              <w:pStyle w:val="style0"/>
              <w:keepNext w:val="false"/>
              <w:keepLines w:val="false"/>
              <w:pageBreakBefore w:val="false"/>
              <w:widowControl w:val="false"/>
              <w:kinsoku/>
              <w:wordWrap/>
              <w:overflowPunct/>
              <w:topLinePunct w:val="false"/>
              <w:autoSpaceDE/>
              <w:autoSpaceDN/>
              <w:bidi w:val="false"/>
              <w:adjustRightInd/>
              <w:snapToGrid/>
              <w:spacing w:lineRule="atLeast" w:line="400"/>
              <w:textAlignment w:val="auto"/>
              <w:rPr>
                <w:rFonts w:ascii="黑体" w:cs="黑体" w:eastAsia="黑体" w:hAnsi="黑体" w:hint="eastAsia"/>
                <w:sz w:val="32"/>
                <w:szCs w:val="40"/>
                <w:vertAlign w:val="baseline"/>
                <w:lang w:val="en-US" w:eastAsia="zh-CN"/>
              </w:rPr>
            </w:pPr>
            <w:r>
              <w:rPr>
                <w:rFonts w:ascii="仿宋_GB2312" w:cs="仿宋_GB2312" w:eastAsia="仿宋_GB2312" w:hAnsi="仿宋_GB2312" w:hint="eastAsia"/>
                <w:sz w:val="24"/>
                <w:szCs w:val="32"/>
                <w:lang w:val="en-US" w:eastAsia="zh-CN"/>
              </w:rPr>
              <w:t>8.广东省教育厅 广东省人力资源和社会保障厅广东省工商行政管理局关于印发《营利性民办培训机构的监督管理办法》的通知</w:t>
            </w:r>
          </w:p>
        </w:tc>
      </w:tr>
    </w:tbl>
    <w:p>
      <w:pPr>
        <w:pStyle w:val="style0"/>
        <w:numPr>
          <w:ilvl w:val="0"/>
          <w:numId w:val="0"/>
        </w:numPr>
        <w:ind w:firstLine="640" w:firstLineChars="200"/>
        <w:rPr>
          <w:rFonts w:ascii="黑体" w:cs="黑体" w:eastAsia="黑体" w:hAnsi="黑体" w:hint="eastAsia"/>
          <w:sz w:val="32"/>
          <w:szCs w:val="40"/>
          <w:lang w:val="en-US" w:eastAsia="zh-CN"/>
        </w:rPr>
      </w:pPr>
      <w:r>
        <w:rPr>
          <w:rFonts w:ascii="黑体" w:cs="黑体" w:eastAsia="黑体" w:hAnsi="黑体" w:hint="eastAsia"/>
          <w:sz w:val="32"/>
          <w:szCs w:val="40"/>
          <w:lang w:val="en-US" w:eastAsia="zh-CN"/>
        </w:rPr>
        <w:t>四、申请材料</w:t>
      </w:r>
    </w:p>
    <w:p>
      <w:pPr>
        <w:pStyle w:val="style0"/>
        <w:numPr>
          <w:ilvl w:val="0"/>
          <w:numId w:val="0"/>
        </w:numPr>
        <w:ind w:firstLine="640" w:firstLineChars="200"/>
        <w:jc w:val="both"/>
        <w:rPr>
          <w:rFonts w:hint="eastAsia"/>
          <w:lang w:val="en-US" w:eastAsia="zh-CN"/>
        </w:rPr>
      </w:pPr>
      <w:r>
        <w:rPr>
          <w:rFonts w:ascii="仿宋_GB2312" w:cs="仿宋_GB2312" w:eastAsia="仿宋_GB2312" w:hAnsi="仿宋_GB2312" w:hint="eastAsia"/>
          <w:sz w:val="32"/>
          <w:szCs w:val="40"/>
          <w:lang w:val="en-US" w:eastAsia="zh-CN"/>
        </w:rPr>
        <w:t>已办理名称自主申报或名称审核的举办者，申请设立培训机构的，应当向</w:t>
      </w:r>
      <w:r>
        <w:rPr>
          <w:rFonts w:ascii="仿宋_GB2312" w:cs="仿宋_GB2312" w:eastAsia="仿宋_GB2312" w:hAnsi="仿宋_GB2312" w:hint="eastAsia"/>
          <w:color w:val="auto"/>
          <w:sz w:val="32"/>
          <w:szCs w:val="40"/>
          <w:lang w:val="en-US" w:eastAsia="zh-CN"/>
        </w:rPr>
        <w:t>区经济贸易和科技局（科技）、区旅游局（文化艺术、体育）</w:t>
      </w:r>
      <w:r>
        <w:rPr>
          <w:rFonts w:ascii="仿宋_GB2312" w:cs="仿宋_GB2312" w:eastAsia="仿宋_GB2312" w:hAnsi="仿宋_GB2312" w:hint="eastAsia"/>
          <w:color w:val="auto"/>
          <w:sz w:val="32"/>
          <w:szCs w:val="40"/>
          <w:lang w:val="en-US" w:eastAsia="zh-CN"/>
        </w:rPr>
        <w:t>提</w:t>
      </w:r>
      <w:r>
        <w:rPr>
          <w:rFonts w:ascii="仿宋_GB2312" w:cs="仿宋_GB2312" w:eastAsia="仿宋_GB2312" w:hAnsi="仿宋_GB2312" w:hint="eastAsia"/>
          <w:sz w:val="32"/>
          <w:szCs w:val="40"/>
          <w:lang w:val="en-US" w:eastAsia="zh-CN"/>
        </w:rPr>
        <w:t>交下列材料：</w:t>
      </w:r>
    </w:p>
    <w:tbl>
      <w:tblPr>
        <w:tblStyle w:val="style154"/>
        <w:tblW w:w="4917"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86"/>
        <w:gridCol w:w="2583"/>
        <w:gridCol w:w="4428"/>
        <w:gridCol w:w="942"/>
      </w:tblGrid>
      <w:tr>
        <w:trPr>
          <w:trHeight w:val="749" w:hRule="atLeast"/>
        </w:trPr>
        <w:tc>
          <w:tcPr>
            <w:tcW w:w="50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jc w:val="center"/>
              <w:textAlignment w:val="auto"/>
              <w:rPr>
                <w:rFonts w:ascii="黑体" w:cs="黑体" w:eastAsia="黑体" w:hAnsi="黑体" w:hint="eastAsia"/>
                <w:b/>
                <w:bCs/>
                <w:sz w:val="24"/>
                <w:szCs w:val="24"/>
                <w:vertAlign w:val="baseline"/>
                <w:lang w:val="en-US" w:eastAsia="zh-CN"/>
              </w:rPr>
            </w:pPr>
            <w:r>
              <w:rPr>
                <w:rFonts w:ascii="黑体" w:cs="黑体" w:eastAsia="黑体" w:hAnsi="黑体" w:hint="eastAsia"/>
                <w:b/>
                <w:bCs/>
                <w:sz w:val="24"/>
                <w:szCs w:val="24"/>
                <w:vertAlign w:val="baseline"/>
                <w:lang w:val="en-US" w:eastAsia="zh-CN"/>
              </w:rPr>
              <w:t>序号</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jc w:val="center"/>
              <w:textAlignment w:val="auto"/>
              <w:rPr>
                <w:rFonts w:ascii="黑体" w:cs="黑体" w:eastAsia="黑体" w:hAnsi="黑体" w:hint="eastAsia"/>
                <w:b/>
                <w:bCs/>
                <w:spacing w:val="-1"/>
                <w:sz w:val="24"/>
                <w:szCs w:val="24"/>
                <w:lang w:eastAsia="zh-CN"/>
              </w:rPr>
            </w:pPr>
            <w:r>
              <w:rPr>
                <w:rFonts w:ascii="黑体" w:cs="黑体" w:eastAsia="黑体" w:hAnsi="黑体" w:hint="eastAsia"/>
                <w:b/>
                <w:bCs/>
                <w:spacing w:val="-1"/>
                <w:sz w:val="24"/>
                <w:szCs w:val="24"/>
                <w:lang w:eastAsia="zh-CN"/>
              </w:rPr>
              <w:t>材料名称</w:t>
            </w:r>
          </w:p>
        </w:tc>
        <w:tc>
          <w:tcPr>
            <w:tcW w:w="2504"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jc w:val="center"/>
              <w:textAlignment w:val="auto"/>
              <w:rPr>
                <w:rFonts w:ascii="黑体" w:cs="黑体" w:eastAsia="黑体" w:hAnsi="黑体" w:hint="eastAsia"/>
                <w:b/>
                <w:bCs/>
                <w:spacing w:val="-7"/>
                <w:sz w:val="24"/>
                <w:szCs w:val="24"/>
                <w:lang w:eastAsia="zh-CN"/>
              </w:rPr>
            </w:pPr>
            <w:r>
              <w:rPr>
                <w:rFonts w:ascii="黑体" w:cs="黑体" w:eastAsia="黑体" w:hAnsi="黑体" w:hint="eastAsia"/>
                <w:b/>
                <w:bCs/>
                <w:spacing w:val="-7"/>
                <w:sz w:val="24"/>
                <w:szCs w:val="24"/>
                <w:lang w:eastAsia="zh-CN"/>
              </w:rPr>
              <w:t>要求</w:t>
            </w:r>
          </w:p>
        </w:tc>
        <w:tc>
          <w:tcPr>
            <w:tcW w:w="533"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jc w:val="center"/>
              <w:textAlignment w:val="auto"/>
              <w:rPr>
                <w:rFonts w:ascii="黑体" w:cs="黑体" w:eastAsia="黑体" w:hAnsi="黑体" w:hint="eastAsia"/>
                <w:b/>
                <w:bCs/>
                <w:sz w:val="24"/>
                <w:szCs w:val="24"/>
                <w:vertAlign w:val="baseline"/>
                <w:lang w:val="en-US" w:eastAsia="zh-CN"/>
              </w:rPr>
            </w:pPr>
            <w:r>
              <w:rPr>
                <w:rFonts w:ascii="黑体" w:cs="黑体" w:eastAsia="黑体" w:hAnsi="黑体" w:hint="eastAsia"/>
                <w:b/>
                <w:bCs/>
                <w:sz w:val="24"/>
                <w:szCs w:val="24"/>
                <w:vertAlign w:val="baseline"/>
                <w:lang w:val="en-US" w:eastAsia="zh-CN"/>
              </w:rPr>
              <w:t>范本</w:t>
            </w:r>
          </w:p>
        </w:tc>
      </w:tr>
      <w:tr>
        <w:tblPrEx/>
        <w:trPr>
          <w:trHeight w:val="903" w:hRule="atLeast"/>
        </w:trPr>
        <w:tc>
          <w:tcPr>
            <w:tcW w:w="50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1</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val="en-US" w:eastAsia="zh-CN"/>
              </w:rPr>
              <w:t>广东省非学科类校外培训机构设立申请表</w:t>
            </w:r>
          </w:p>
        </w:tc>
        <w:tc>
          <w:tcPr>
            <w:tcW w:w="2504"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val="en-US" w:eastAsia="zh-CN"/>
              </w:rPr>
              <w:t>按表格要求如实填写并签章。</w:t>
            </w:r>
          </w:p>
        </w:tc>
        <w:tc>
          <w:tcPr>
            <w:tcW w:w="533"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val="en-US" w:eastAsia="zh-CN"/>
              </w:rPr>
              <w:t>范本1</w:t>
            </w:r>
          </w:p>
        </w:tc>
      </w:tr>
      <w:tr>
        <w:tblPrEx/>
        <w:trPr>
          <w:trHeight w:val="913" w:hRule="atLeast"/>
        </w:trPr>
        <w:tc>
          <w:tcPr>
            <w:tcW w:w="50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hint="eastAsia"/>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hint="eastAsia"/>
                <w:lang w:val="en-US" w:eastAsia="zh-CN"/>
              </w:rPr>
            </w:pPr>
            <w:r>
              <w:rPr>
                <w:rFonts w:ascii="仿宋_GB2312" w:cs="仿宋_GB2312" w:eastAsia="仿宋_GB2312" w:hAnsi="仿宋_GB2312" w:hint="eastAsia"/>
                <w:sz w:val="24"/>
                <w:szCs w:val="24"/>
                <w:lang w:val="en-US" w:eastAsia="zh-CN"/>
              </w:rPr>
              <w:t>2</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lang w:val="en-US" w:eastAsia="zh-CN"/>
              </w:rPr>
              <w:t>开立临时存款账户通知书或企业名称自主申报告知书</w:t>
            </w:r>
          </w:p>
        </w:tc>
        <w:tc>
          <w:tcPr>
            <w:tcW w:w="2504"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至相应登记管理机关办理，应当符合相关规定。</w:t>
            </w:r>
          </w:p>
        </w:tc>
        <w:tc>
          <w:tcPr>
            <w:tcW w:w="533"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r>
      <w:tr>
        <w:tblPrEx/>
        <w:trPr>
          <w:trHeight w:val="1806" w:hRule="atLeast"/>
        </w:trPr>
        <w:tc>
          <w:tcPr>
            <w:tcW w:w="50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3</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rPr>
              <w:t>申办报告</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c>
          <w:tcPr>
            <w:tcW w:w="2504"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内容主要包括：举办者、培养目标、培训规模、培训层次、培训形式、培训条件、《设置标准》规定的各项管理制度、经费筹措与管理、管理人员与师资队伍等。</w:t>
            </w:r>
          </w:p>
        </w:tc>
        <w:tc>
          <w:tcPr>
            <w:tcW w:w="533"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hint="eastAsia"/>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hint="eastAsia"/>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hint="eastAsia"/>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left"/>
              <w:textAlignment w:val="auto"/>
              <w:rPr>
                <w:rFonts w:hint="eastAsia"/>
                <w:lang w:val="en-US" w:eastAsia="zh-CN"/>
              </w:rPr>
            </w:pPr>
            <w:r>
              <w:rPr>
                <w:rFonts w:ascii="仿宋_GB2312" w:cs="仿宋_GB2312" w:eastAsia="仿宋_GB2312" w:hAnsi="仿宋_GB2312" w:hint="eastAsia"/>
                <w:sz w:val="24"/>
                <w:szCs w:val="24"/>
                <w:lang w:val="en-US" w:eastAsia="zh-CN"/>
              </w:rPr>
              <w:t>范本2</w:t>
            </w:r>
          </w:p>
        </w:tc>
      </w:tr>
      <w:tr>
        <w:tblPrEx/>
        <w:trPr>
          <w:trHeight w:val="749" w:hRule="atLeast"/>
        </w:trPr>
        <w:tc>
          <w:tcPr>
            <w:tcW w:w="50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4</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机构章程</w:t>
            </w:r>
          </w:p>
        </w:tc>
        <w:tc>
          <w:tcPr>
            <w:tcW w:w="2504"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符合相关法律法规、《设置标准》规定。</w:t>
            </w:r>
          </w:p>
        </w:tc>
        <w:tc>
          <w:tcPr>
            <w:tcW w:w="533"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val="en-US" w:eastAsia="zh-CN"/>
              </w:rPr>
              <w:t>范本3</w:t>
            </w:r>
          </w:p>
        </w:tc>
      </w:tr>
      <w:tr>
        <w:tblPrEx/>
        <w:trPr>
          <w:trHeight w:val="749" w:hRule="atLeast"/>
        </w:trPr>
        <w:tc>
          <w:tcPr>
            <w:tcW w:w="501" w:type="pct"/>
            <w:vMerge w:val="restar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eastAsia"/>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eastAsia"/>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eastAsia"/>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eastAsia"/>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5</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p>
        </w:tc>
        <w:tc>
          <w:tcPr>
            <w:tcW w:w="1461" w:type="pct"/>
            <w:vMerge w:val="restar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eastAsia="zh-CN"/>
              </w:rPr>
              <w:t>举办者的资质文件</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c>
          <w:tcPr>
            <w:tcW w:w="2504"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举办者是社会组织的，应提供营业执照或民办非企业单位登记证书复印件、信用状况良好承 诺书，其法定代表人的有效身份证件复印件、法定代表人信用状况良好和无犯罪记录承诺书。</w:t>
            </w:r>
          </w:p>
        </w:tc>
        <w:tc>
          <w:tcPr>
            <w:tcW w:w="533"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hint="eastAsia"/>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hint="eastAsia"/>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hint="eastAsia"/>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left"/>
              <w:textAlignment w:val="auto"/>
              <w:rPr>
                <w:rFonts w:hint="eastAsia"/>
                <w:lang w:val="en-US" w:eastAsia="zh-CN"/>
              </w:rPr>
            </w:pPr>
            <w:r>
              <w:rPr>
                <w:rFonts w:ascii="仿宋_GB2312" w:cs="仿宋_GB2312" w:eastAsia="仿宋_GB2312" w:hAnsi="仿宋_GB2312" w:hint="eastAsia"/>
                <w:sz w:val="24"/>
                <w:szCs w:val="24"/>
                <w:lang w:val="en-US" w:eastAsia="zh-CN"/>
              </w:rPr>
              <w:t>范本4</w:t>
            </w:r>
          </w:p>
        </w:tc>
      </w:tr>
      <w:tr>
        <w:tblPrEx/>
        <w:trPr>
          <w:trHeight w:val="749" w:hRule="atLeast"/>
        </w:trPr>
        <w:tc>
          <w:tcPr>
            <w:tcW w:w="501" w:type="pct"/>
            <w:vMerge w:val="continue"/>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eastAsia"/>
                <w:sz w:val="24"/>
                <w:szCs w:val="24"/>
                <w:lang w:val="en-US" w:eastAsia="zh-CN"/>
              </w:rPr>
            </w:pPr>
          </w:p>
        </w:tc>
        <w:tc>
          <w:tcPr>
            <w:tcW w:w="1461" w:type="pct"/>
            <w:vMerge w:val="continue"/>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rPr>
            </w:pPr>
          </w:p>
        </w:tc>
        <w:tc>
          <w:tcPr>
            <w:tcW w:w="2504"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lang w:val="en-US" w:eastAsia="zh-CN"/>
              </w:rPr>
              <w:t>举办者为个人的，应提供有效身份证件复印件、信用状况良好承诺书、无犯罪记录承诺书。</w:t>
            </w:r>
          </w:p>
        </w:tc>
        <w:tc>
          <w:tcPr>
            <w:tcW w:w="533"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hint="eastAsia"/>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left"/>
              <w:textAlignment w:val="auto"/>
              <w:rPr>
                <w:rFonts w:hint="eastAsia"/>
                <w:lang w:val="en-US" w:eastAsia="zh-CN"/>
              </w:rPr>
            </w:pPr>
            <w:r>
              <w:rPr>
                <w:rFonts w:ascii="仿宋_GB2312" w:cs="仿宋_GB2312" w:eastAsia="仿宋_GB2312" w:hAnsi="仿宋_GB2312" w:hint="eastAsia"/>
                <w:sz w:val="24"/>
                <w:szCs w:val="24"/>
                <w:lang w:val="en-US" w:eastAsia="zh-CN"/>
              </w:rPr>
              <w:t>范本5</w:t>
            </w:r>
          </w:p>
        </w:tc>
      </w:tr>
      <w:tr>
        <w:tblPrEx/>
        <w:trPr>
          <w:trHeight w:val="749" w:hRule="atLeast"/>
        </w:trPr>
        <w:tc>
          <w:tcPr>
            <w:tcW w:w="50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eastAsia"/>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6</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rPr>
              <w:t>开办资金、注册资本有效证明文件</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c>
          <w:tcPr>
            <w:tcW w:w="2504"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包括但不限于银行存款证明、举办者</w:t>
            </w:r>
            <w:r>
              <w:rPr>
                <w:rFonts w:ascii="仿宋_GB2312" w:cs="仿宋_GB2312" w:eastAsia="仿宋_GB2312" w:hAnsi="仿宋_GB2312" w:hint="eastAsia"/>
                <w:sz w:val="24"/>
                <w:szCs w:val="24"/>
                <w:lang w:eastAsia="zh-CN"/>
              </w:rPr>
              <w:t>（</w:t>
            </w:r>
            <w:r>
              <w:rPr>
                <w:rFonts w:ascii="仿宋_GB2312" w:cs="仿宋_GB2312" w:eastAsia="仿宋_GB2312" w:hAnsi="仿宋_GB2312" w:hint="eastAsia"/>
                <w:sz w:val="24"/>
                <w:szCs w:val="24"/>
              </w:rPr>
              <w:t>社会组织</w:t>
            </w:r>
            <w:r>
              <w:rPr>
                <w:rFonts w:ascii="仿宋_GB2312" w:cs="仿宋_GB2312" w:eastAsia="仿宋_GB2312" w:hAnsi="仿宋_GB2312" w:hint="eastAsia"/>
                <w:sz w:val="24"/>
                <w:szCs w:val="24"/>
                <w:lang w:eastAsia="zh-CN"/>
              </w:rPr>
              <w:t>）</w:t>
            </w:r>
            <w:r>
              <w:rPr>
                <w:rFonts w:ascii="仿宋_GB2312" w:cs="仿宋_GB2312" w:eastAsia="仿宋_GB2312" w:hAnsi="仿宋_GB2312" w:hint="eastAsia"/>
                <w:sz w:val="24"/>
                <w:szCs w:val="24"/>
              </w:rPr>
              <w:t>的财务审计报告、设备设施购买合同及发票等。非营利性培训机构应提交开办资金已全部缴足的验资报告。</w:t>
            </w:r>
          </w:p>
        </w:tc>
        <w:tc>
          <w:tcPr>
            <w:tcW w:w="533"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r>
      <w:tr>
        <w:tblPrEx/>
        <w:trPr>
          <w:trHeight w:val="749" w:hRule="atLeast"/>
        </w:trPr>
        <w:tc>
          <w:tcPr>
            <w:tcW w:w="50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eastAsia"/>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eastAsia"/>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eastAsia"/>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eastAsia"/>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eastAsia"/>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7</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rPr>
              <w:t>办学场所房产权属材 料</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c>
          <w:tcPr>
            <w:tcW w:w="2504"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以自有场所举办的，须提供不动产权证、房地产权证或房屋所有权证等，并提供查询内容为房产登记、抵押、查封信息的不动产登记查册表；未办理房屋产权证的须提供土地使用权或所有权 文件及建设工程报建、验收文件；或镇政府、街道办事处、土地房屋管理部门出具的产权文件等。</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lang w:eastAsia="zh-CN"/>
              </w:rPr>
            </w:pPr>
            <w:r>
              <w:rPr>
                <w:rFonts w:ascii="仿宋_GB2312" w:cs="仿宋_GB2312" w:eastAsia="仿宋_GB2312" w:hAnsi="仿宋_GB2312" w:hint="eastAsia"/>
                <w:sz w:val="24"/>
                <w:szCs w:val="24"/>
              </w:rPr>
              <w:t>以租赁场地举办的，还应提交经备案的租赁合同</w:t>
            </w:r>
            <w:r>
              <w:rPr>
                <w:rFonts w:ascii="仿宋_GB2312" w:cs="仿宋_GB2312" w:eastAsia="仿宋_GB2312" w:hAnsi="仿宋_GB2312" w:hint="eastAsia"/>
                <w:sz w:val="24"/>
                <w:szCs w:val="24"/>
                <w:lang w:eastAsia="zh-CN"/>
              </w:rPr>
              <w:t>（</w:t>
            </w:r>
            <w:r>
              <w:rPr>
                <w:rFonts w:ascii="仿宋_GB2312" w:cs="仿宋_GB2312" w:eastAsia="仿宋_GB2312" w:hAnsi="仿宋_GB2312" w:hint="eastAsia"/>
                <w:sz w:val="24"/>
                <w:szCs w:val="24"/>
              </w:rPr>
              <w:t>协议</w:t>
            </w:r>
            <w:r>
              <w:rPr>
                <w:rFonts w:ascii="仿宋_GB2312" w:cs="仿宋_GB2312" w:eastAsia="仿宋_GB2312" w:hAnsi="仿宋_GB2312" w:hint="eastAsia"/>
                <w:sz w:val="24"/>
                <w:szCs w:val="24"/>
                <w:lang w:eastAsia="zh-CN"/>
              </w:rPr>
              <w:t>）</w:t>
            </w:r>
            <w:r>
              <w:rPr>
                <w:rFonts w:ascii="仿宋_GB2312" w:cs="仿宋_GB2312" w:eastAsia="仿宋_GB2312" w:hAnsi="仿宋_GB2312" w:hint="eastAsia"/>
                <w:sz w:val="24"/>
                <w:szCs w:val="24"/>
              </w:rPr>
              <w:t>以及出租人产权文件，租赁期应符合《设置标准》的规定</w:t>
            </w:r>
            <w:r>
              <w:rPr>
                <w:rFonts w:ascii="仿宋_GB2312" w:cs="仿宋_GB2312" w:eastAsia="仿宋_GB2312" w:hAnsi="仿宋_GB2312" w:hint="eastAsia"/>
                <w:sz w:val="24"/>
                <w:szCs w:val="24"/>
                <w:lang w:eastAsia="zh-CN"/>
              </w:rPr>
              <w:t>。</w:t>
            </w:r>
          </w:p>
        </w:tc>
        <w:tc>
          <w:tcPr>
            <w:tcW w:w="533"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r>
      <w:tr>
        <w:tblPrEx/>
        <w:trPr>
          <w:trHeight w:val="749" w:hRule="atLeast"/>
        </w:trPr>
        <w:tc>
          <w:tcPr>
            <w:tcW w:w="50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8</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培训场所内部结构平 面图</w:t>
            </w:r>
          </w:p>
        </w:tc>
        <w:tc>
          <w:tcPr>
            <w:tcW w:w="2504"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lang w:eastAsia="zh-CN"/>
              </w:rPr>
            </w:pPr>
            <w:r>
              <w:rPr>
                <w:rFonts w:ascii="仿宋_GB2312" w:cs="仿宋_GB2312" w:eastAsia="仿宋_GB2312" w:hAnsi="仿宋_GB2312" w:hint="eastAsia"/>
                <w:sz w:val="24"/>
                <w:szCs w:val="24"/>
              </w:rPr>
              <w:t>应标明实际用于教学的区域、面积</w:t>
            </w:r>
            <w:r>
              <w:rPr>
                <w:rFonts w:ascii="仿宋_GB2312" w:cs="仿宋_GB2312" w:eastAsia="仿宋_GB2312" w:hAnsi="仿宋_GB2312" w:hint="eastAsia"/>
                <w:sz w:val="24"/>
                <w:szCs w:val="24"/>
                <w:lang w:eastAsia="zh-CN"/>
              </w:rPr>
              <w:t>。</w:t>
            </w:r>
          </w:p>
        </w:tc>
        <w:tc>
          <w:tcPr>
            <w:tcW w:w="533"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r>
      <w:tr>
        <w:tblPrEx/>
        <w:trPr>
          <w:trHeight w:val="749" w:hRule="atLeast"/>
        </w:trPr>
        <w:tc>
          <w:tcPr>
            <w:tcW w:w="50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eastAsia"/>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9</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rPr>
              <w:t>消防安全证明材料</w:t>
            </w:r>
          </w:p>
        </w:tc>
        <w:tc>
          <w:tcPr>
            <w:tcW w:w="2504"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应提交建设工程消防审核验收文件或备案文件</w:t>
            </w:r>
            <w:r>
              <w:rPr>
                <w:rFonts w:ascii="仿宋_GB2312" w:cs="仿宋_GB2312" w:eastAsia="仿宋_GB2312" w:hAnsi="仿宋_GB2312" w:hint="eastAsia"/>
                <w:sz w:val="24"/>
                <w:szCs w:val="24"/>
                <w:lang w:eastAsia="zh-CN"/>
              </w:rPr>
              <w:t>（</w:t>
            </w:r>
            <w:r>
              <w:rPr>
                <w:rFonts w:ascii="仿宋_GB2312" w:cs="仿宋_GB2312" w:eastAsia="仿宋_GB2312" w:hAnsi="仿宋_GB2312" w:hint="eastAsia"/>
                <w:sz w:val="24"/>
                <w:szCs w:val="24"/>
              </w:rPr>
              <w:t>在室外开展体育类培训的除外</w:t>
            </w:r>
            <w:r>
              <w:rPr>
                <w:rFonts w:ascii="仿宋_GB2312" w:cs="仿宋_GB2312" w:eastAsia="仿宋_GB2312" w:hAnsi="仿宋_GB2312" w:hint="eastAsia"/>
                <w:sz w:val="24"/>
                <w:szCs w:val="24"/>
                <w:lang w:eastAsia="zh-CN"/>
              </w:rPr>
              <w:t>）</w:t>
            </w:r>
            <w:r>
              <w:rPr>
                <w:rFonts w:ascii="仿宋_GB2312" w:cs="仿宋_GB2312" w:eastAsia="仿宋_GB2312" w:hAnsi="仿宋_GB2312" w:hint="eastAsia"/>
                <w:sz w:val="24"/>
                <w:szCs w:val="24"/>
              </w:rPr>
              <w:t>。</w:t>
            </w:r>
          </w:p>
        </w:tc>
        <w:tc>
          <w:tcPr>
            <w:tcW w:w="533"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r>
      <w:tr>
        <w:tblPrEx/>
        <w:trPr>
          <w:trHeight w:val="749" w:hRule="atLeast"/>
        </w:trPr>
        <w:tc>
          <w:tcPr>
            <w:tcW w:w="50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eastAsia"/>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10</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default"/>
                <w:sz w:val="24"/>
                <w:szCs w:val="24"/>
                <w:lang w:val="en-US" w:eastAsia="zh-CN"/>
              </w:rPr>
            </w:pP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rPr>
              <w:t>设施设备情况表</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c>
          <w:tcPr>
            <w:tcW w:w="2504"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按表格要求如实填写并签章。培训机构应具有与培训层次、培训类别、培训项目和培训规模相适应的设施设备和图书资料等。</w:t>
            </w:r>
          </w:p>
        </w:tc>
        <w:tc>
          <w:tcPr>
            <w:tcW w:w="533"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val="en-US" w:eastAsia="zh-CN"/>
              </w:rPr>
              <w:t>范本6</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r>
      <w:tr>
        <w:tblPrEx/>
        <w:trPr>
          <w:trHeight w:val="749" w:hRule="atLeast"/>
        </w:trPr>
        <w:tc>
          <w:tcPr>
            <w:tcW w:w="50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eastAsia"/>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11</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拟任首届董</w:t>
            </w:r>
            <w:r>
              <w:rPr>
                <w:rFonts w:ascii="仿宋_GB2312" w:cs="仿宋_GB2312" w:eastAsia="仿宋_GB2312" w:hAnsi="仿宋_GB2312" w:hint="eastAsia"/>
                <w:sz w:val="24"/>
                <w:szCs w:val="24"/>
                <w:lang w:eastAsia="zh-CN"/>
              </w:rPr>
              <w:t>（</w:t>
            </w:r>
            <w:r>
              <w:rPr>
                <w:rFonts w:ascii="仿宋_GB2312" w:cs="仿宋_GB2312" w:eastAsia="仿宋_GB2312" w:hAnsi="仿宋_GB2312" w:hint="eastAsia"/>
                <w:sz w:val="24"/>
                <w:szCs w:val="24"/>
              </w:rPr>
              <w:t>理</w:t>
            </w:r>
            <w:r>
              <w:rPr>
                <w:rFonts w:ascii="仿宋_GB2312" w:cs="仿宋_GB2312" w:eastAsia="仿宋_GB2312" w:hAnsi="仿宋_GB2312" w:hint="eastAsia"/>
                <w:sz w:val="24"/>
                <w:szCs w:val="24"/>
                <w:lang w:eastAsia="zh-CN"/>
              </w:rPr>
              <w:t>）</w:t>
            </w:r>
            <w:r>
              <w:rPr>
                <w:rFonts w:ascii="仿宋_GB2312" w:cs="仿宋_GB2312" w:eastAsia="仿宋_GB2312" w:hAnsi="仿宋_GB2312" w:hint="eastAsia"/>
                <w:sz w:val="24"/>
                <w:szCs w:val="24"/>
              </w:rPr>
              <w:t>事会或者其他决策机构组成人员、监事会明细表</w:t>
            </w:r>
          </w:p>
        </w:tc>
        <w:tc>
          <w:tcPr>
            <w:tcW w:w="2504"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按表格要求如实填写并签章。同时还应提供表中人员有效身份证件、学历证、相关从业资质 材料等复印件及无犯罪记录承诺书。</w:t>
            </w:r>
          </w:p>
        </w:tc>
        <w:tc>
          <w:tcPr>
            <w:tcW w:w="533"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val="en-US" w:eastAsia="zh-CN"/>
              </w:rPr>
              <w:t>范本7</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r>
      <w:tr>
        <w:tblPrEx/>
        <w:trPr>
          <w:trHeight w:val="749" w:hRule="atLeast"/>
        </w:trPr>
        <w:tc>
          <w:tcPr>
            <w:tcW w:w="50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12</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eastAsia"/>
                <w:sz w:val="24"/>
                <w:szCs w:val="24"/>
                <w:lang w:val="en-US" w:eastAsia="zh-CN"/>
              </w:rPr>
            </w:pP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lang w:eastAsia="zh-CN"/>
              </w:rPr>
              <w:t>（</w:t>
            </w:r>
            <w:r>
              <w:rPr>
                <w:rFonts w:ascii="仿宋_GB2312" w:cs="仿宋_GB2312" w:eastAsia="仿宋_GB2312" w:hAnsi="仿宋_GB2312" w:hint="eastAsia"/>
                <w:sz w:val="24"/>
                <w:szCs w:val="24"/>
              </w:rPr>
              <w:t>拟任</w:t>
            </w:r>
            <w:r>
              <w:rPr>
                <w:rFonts w:ascii="仿宋_GB2312" w:cs="仿宋_GB2312" w:eastAsia="仿宋_GB2312" w:hAnsi="仿宋_GB2312" w:hint="eastAsia"/>
                <w:sz w:val="24"/>
                <w:szCs w:val="24"/>
                <w:lang w:eastAsia="zh-CN"/>
              </w:rPr>
              <w:t>）</w:t>
            </w:r>
            <w:r>
              <w:rPr>
                <w:rFonts w:ascii="仿宋_GB2312" w:cs="仿宋_GB2312" w:eastAsia="仿宋_GB2312" w:hAnsi="仿宋_GB2312" w:hint="eastAsia"/>
                <w:sz w:val="24"/>
                <w:szCs w:val="24"/>
              </w:rPr>
              <w:t>校长</w:t>
            </w:r>
            <w:r>
              <w:rPr>
                <w:rFonts w:ascii="仿宋_GB2312" w:cs="仿宋_GB2312" w:eastAsia="仿宋_GB2312" w:hAnsi="仿宋_GB2312" w:hint="eastAsia"/>
                <w:sz w:val="24"/>
                <w:szCs w:val="24"/>
                <w:lang w:eastAsia="zh-CN"/>
              </w:rPr>
              <w:t>（</w:t>
            </w:r>
            <w:r>
              <w:rPr>
                <w:rFonts w:ascii="仿宋_GB2312" w:cs="仿宋_GB2312" w:eastAsia="仿宋_GB2312" w:hAnsi="仿宋_GB2312" w:hint="eastAsia"/>
                <w:sz w:val="24"/>
                <w:szCs w:val="24"/>
              </w:rPr>
              <w:t>行政负责人</w:t>
            </w:r>
            <w:r>
              <w:rPr>
                <w:rFonts w:ascii="仿宋_GB2312" w:cs="仿宋_GB2312" w:eastAsia="仿宋_GB2312" w:hAnsi="仿宋_GB2312" w:hint="eastAsia"/>
                <w:sz w:val="24"/>
                <w:szCs w:val="24"/>
                <w:lang w:eastAsia="zh-CN"/>
              </w:rPr>
              <w:t>）</w:t>
            </w:r>
            <w:r>
              <w:rPr>
                <w:rFonts w:ascii="仿宋_GB2312" w:cs="仿宋_GB2312" w:eastAsia="仿宋_GB2312" w:hAnsi="仿宋_GB2312" w:hint="eastAsia"/>
                <w:sz w:val="24"/>
                <w:szCs w:val="24"/>
              </w:rPr>
              <w:t>履历表</w:t>
            </w:r>
          </w:p>
        </w:tc>
        <w:tc>
          <w:tcPr>
            <w:tcW w:w="2504"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按表格要求如实填写并签章。</w:t>
            </w:r>
          </w:p>
        </w:tc>
        <w:tc>
          <w:tcPr>
            <w:tcW w:w="533"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val="en-US" w:eastAsia="zh-CN"/>
              </w:rPr>
              <w:t>范本8</w:t>
            </w:r>
          </w:p>
        </w:tc>
      </w:tr>
      <w:tr>
        <w:tblPrEx/>
        <w:trPr>
          <w:trHeight w:val="749" w:hRule="atLeast"/>
        </w:trPr>
        <w:tc>
          <w:tcPr>
            <w:tcW w:w="50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hint="eastAsia"/>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hint="default"/>
                <w:lang w:val="en-US" w:eastAsia="zh-CN"/>
              </w:rPr>
            </w:pPr>
            <w:r>
              <w:rPr>
                <w:rFonts w:ascii="仿宋_GB2312" w:cs="仿宋_GB2312" w:eastAsia="仿宋_GB2312" w:hAnsi="仿宋_GB2312" w:hint="eastAsia"/>
                <w:sz w:val="24"/>
                <w:szCs w:val="24"/>
                <w:lang w:val="en-US" w:eastAsia="zh-CN"/>
              </w:rPr>
              <w:t>13</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eastAsia="zh-CN"/>
              </w:rPr>
              <w:t>（</w:t>
            </w:r>
            <w:r>
              <w:rPr>
                <w:rFonts w:ascii="仿宋_GB2312" w:cs="仿宋_GB2312" w:eastAsia="仿宋_GB2312" w:hAnsi="仿宋_GB2312" w:hint="eastAsia"/>
                <w:sz w:val="24"/>
                <w:szCs w:val="24"/>
              </w:rPr>
              <w:t>拟聘用</w:t>
            </w:r>
            <w:r>
              <w:rPr>
                <w:rFonts w:ascii="仿宋_GB2312" w:cs="仿宋_GB2312" w:eastAsia="仿宋_GB2312" w:hAnsi="仿宋_GB2312" w:hint="eastAsia"/>
                <w:sz w:val="24"/>
                <w:szCs w:val="24"/>
                <w:lang w:eastAsia="zh-CN"/>
              </w:rPr>
              <w:t>）</w:t>
            </w:r>
            <w:r>
              <w:rPr>
                <w:rFonts w:ascii="仿宋_GB2312" w:cs="仿宋_GB2312" w:eastAsia="仿宋_GB2312" w:hAnsi="仿宋_GB2312" w:hint="eastAsia"/>
                <w:sz w:val="24"/>
                <w:szCs w:val="24"/>
              </w:rPr>
              <w:t xml:space="preserve"> 从业人员明细表</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c>
          <w:tcPr>
            <w:tcW w:w="2504"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按表格要求如实填写并签章。还应提供表中人员有效身份证件、学历证、相关从业资质材料、 劳动合同等复印件及无犯罪记录承诺书。</w:t>
            </w:r>
          </w:p>
        </w:tc>
        <w:tc>
          <w:tcPr>
            <w:tcW w:w="533"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hint="eastAsia"/>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left"/>
              <w:textAlignment w:val="auto"/>
              <w:rPr>
                <w:rFonts w:hint="eastAsia"/>
                <w:lang w:val="en-US" w:eastAsia="zh-CN"/>
              </w:rPr>
            </w:pPr>
            <w:r>
              <w:rPr>
                <w:rFonts w:ascii="仿宋_GB2312" w:cs="仿宋_GB2312" w:eastAsia="仿宋_GB2312" w:hAnsi="仿宋_GB2312" w:hint="eastAsia"/>
                <w:sz w:val="24"/>
                <w:szCs w:val="24"/>
                <w:lang w:val="en-US" w:eastAsia="zh-CN"/>
              </w:rPr>
              <w:t>范本9</w:t>
            </w:r>
          </w:p>
        </w:tc>
      </w:tr>
      <w:tr>
        <w:tblPrEx/>
        <w:trPr>
          <w:trHeight w:val="749" w:hRule="atLeast"/>
        </w:trPr>
        <w:tc>
          <w:tcPr>
            <w:tcW w:w="50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hint="eastAsia"/>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hint="eastAsia"/>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hint="eastAsia"/>
                <w:lang w:val="en-US" w:eastAsia="zh-CN"/>
              </w:rPr>
            </w:pPr>
            <w:r>
              <w:rPr>
                <w:rFonts w:ascii="仿宋_GB2312" w:cs="仿宋_GB2312" w:eastAsia="仿宋_GB2312" w:hAnsi="仿宋_GB2312" w:hint="eastAsia"/>
                <w:sz w:val="24"/>
                <w:szCs w:val="24"/>
                <w:lang w:val="en-US" w:eastAsia="zh-CN"/>
              </w:rPr>
              <w:t>14</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hint="eastAsia"/>
                <w:lang w:val="en-US" w:eastAsia="zh-CN"/>
              </w:rPr>
            </w:pP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rPr>
              <w:t>培训机构党员名单</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c>
          <w:tcPr>
            <w:tcW w:w="2504"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按表格要求如实填写并签章。党员 3 名以上，应提交按照相关规定成立党组织并开展活动承诺书；党员人数不足 3 名，应提交联合组建、挂靠组建的工作思路、方案和开展活动的计划。</w:t>
            </w:r>
          </w:p>
        </w:tc>
        <w:tc>
          <w:tcPr>
            <w:tcW w:w="533"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hint="eastAsia"/>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hint="eastAsia"/>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left"/>
              <w:textAlignment w:val="auto"/>
              <w:rPr>
                <w:rFonts w:hint="eastAsia"/>
                <w:lang w:val="en-US" w:eastAsia="zh-CN"/>
              </w:rPr>
            </w:pPr>
            <w:r>
              <w:rPr>
                <w:rFonts w:ascii="仿宋_GB2312" w:cs="仿宋_GB2312" w:eastAsia="仿宋_GB2312" w:hAnsi="仿宋_GB2312" w:hint="eastAsia"/>
                <w:sz w:val="24"/>
                <w:szCs w:val="24"/>
                <w:lang w:val="en-US" w:eastAsia="zh-CN"/>
              </w:rPr>
              <w:t>范本10</w:t>
            </w:r>
          </w:p>
        </w:tc>
      </w:tr>
      <w:tr>
        <w:tblPrEx/>
        <w:trPr>
          <w:trHeight w:val="749" w:hRule="atLeast"/>
        </w:trPr>
        <w:tc>
          <w:tcPr>
            <w:tcW w:w="50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val="en-US" w:eastAsia="zh-CN"/>
              </w:rPr>
              <w:t>15</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拟用培训材料备案表</w:t>
            </w:r>
          </w:p>
        </w:tc>
        <w:tc>
          <w:tcPr>
            <w:tcW w:w="2504"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val="en-US" w:eastAsia="zh-CN"/>
              </w:rPr>
              <w:t>按表格要求如实填写并签章。同时提供培训计划、课程设置和教学大纲。</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rPr>
            </w:pPr>
          </w:p>
        </w:tc>
        <w:tc>
          <w:tcPr>
            <w:tcW w:w="533"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hint="eastAsia"/>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left"/>
              <w:textAlignment w:val="auto"/>
              <w:rPr>
                <w:rFonts w:ascii="Calibri" w:cs="宋体" w:eastAsia="宋体" w:hAnsi="Calibri" w:hint="eastAsia"/>
                <w:kern w:val="2"/>
                <w:sz w:val="21"/>
                <w:szCs w:val="24"/>
                <w:lang w:val="en-US" w:bidi="ar-SA" w:eastAsia="zh-CN"/>
              </w:rPr>
            </w:pPr>
            <w:r>
              <w:rPr>
                <w:rFonts w:ascii="仿宋_GB2312" w:cs="仿宋_GB2312" w:eastAsia="仿宋_GB2312" w:hAnsi="仿宋_GB2312" w:hint="eastAsia"/>
                <w:sz w:val="24"/>
                <w:szCs w:val="24"/>
                <w:lang w:val="en-US" w:eastAsia="zh-CN"/>
              </w:rPr>
              <w:t>范本11</w:t>
            </w:r>
          </w:p>
        </w:tc>
      </w:tr>
      <w:tr>
        <w:tblPrEx/>
        <w:trPr>
          <w:trHeight w:val="749" w:hRule="atLeast"/>
        </w:trPr>
        <w:tc>
          <w:tcPr>
            <w:tcW w:w="50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hint="eastAsia"/>
                <w:lang w:val="en-US" w:eastAsia="zh-CN"/>
              </w:rPr>
            </w:pPr>
          </w:p>
          <w:p>
            <w:pPr>
              <w:pStyle w:val="style2"/>
              <w:jc w:val="center"/>
              <w:rPr>
                <w:rFonts w:hint="default"/>
                <w:lang w:val="en-US" w:eastAsia="zh-CN"/>
              </w:rPr>
            </w:pPr>
            <w:r>
              <w:rPr>
                <w:rFonts w:ascii="仿宋_GB2312" w:cs="仿宋_GB2312" w:eastAsia="仿宋_GB2312" w:hAnsi="仿宋_GB2312" w:hint="eastAsia"/>
                <w:b w:val="false"/>
                <w:kern w:val="2"/>
                <w:sz w:val="24"/>
                <w:szCs w:val="24"/>
                <w:lang w:val="en-US" w:bidi="ar-SA" w:eastAsia="zh-CN"/>
              </w:rPr>
              <w:t>16</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网站</w:t>
            </w:r>
            <w:r>
              <w:rPr>
                <w:rFonts w:ascii="仿宋_GB2312" w:cs="仿宋_GB2312" w:eastAsia="仿宋_GB2312" w:hAnsi="仿宋_GB2312" w:hint="eastAsia"/>
                <w:sz w:val="24"/>
                <w:szCs w:val="24"/>
                <w:lang w:eastAsia="zh-CN"/>
              </w:rPr>
              <w:t>（</w:t>
            </w:r>
            <w:r>
              <w:rPr>
                <w:rFonts w:ascii="仿宋_GB2312" w:cs="仿宋_GB2312" w:eastAsia="仿宋_GB2312" w:hAnsi="仿宋_GB2312" w:hint="eastAsia"/>
                <w:sz w:val="24"/>
                <w:szCs w:val="24"/>
              </w:rPr>
              <w:t>或教育 APP</w:t>
            </w:r>
            <w:r>
              <w:rPr>
                <w:rFonts w:ascii="仿宋_GB2312" w:cs="仿宋_GB2312" w:eastAsia="仿宋_GB2312" w:hAnsi="仿宋_GB2312" w:hint="eastAsia"/>
                <w:sz w:val="24"/>
                <w:szCs w:val="24"/>
                <w:lang w:eastAsia="zh-CN"/>
              </w:rPr>
              <w:t>）</w:t>
            </w:r>
            <w:r>
              <w:rPr>
                <w:rFonts w:ascii="仿宋_GB2312" w:cs="仿宋_GB2312" w:eastAsia="仿宋_GB2312" w:hAnsi="仿宋_GB2312" w:hint="eastAsia"/>
                <w:sz w:val="24"/>
                <w:szCs w:val="24"/>
              </w:rPr>
              <w:t xml:space="preserve"> 测试账号以及电信与 信息服务业务经营  </w:t>
            </w:r>
            <w:r>
              <w:rPr>
                <w:rFonts w:ascii="仿宋_GB2312" w:cs="仿宋_GB2312" w:eastAsia="仿宋_GB2312" w:hAnsi="仿宋_GB2312" w:hint="eastAsia"/>
                <w:sz w:val="24"/>
                <w:szCs w:val="24"/>
                <w:lang w:eastAsia="zh-CN"/>
              </w:rPr>
              <w:t>（</w:t>
            </w:r>
            <w:r>
              <w:rPr>
                <w:rFonts w:ascii="仿宋_GB2312" w:cs="仿宋_GB2312" w:eastAsia="仿宋_GB2312" w:hAnsi="仿宋_GB2312" w:hint="eastAsia"/>
                <w:sz w:val="24"/>
                <w:szCs w:val="24"/>
              </w:rPr>
              <w:t>ICP</w:t>
            </w:r>
            <w:r>
              <w:rPr>
                <w:rFonts w:ascii="仿宋_GB2312" w:cs="仿宋_GB2312" w:eastAsia="仿宋_GB2312" w:hAnsi="仿宋_GB2312" w:hint="eastAsia"/>
                <w:sz w:val="24"/>
                <w:szCs w:val="24"/>
                <w:lang w:eastAsia="zh-CN"/>
              </w:rPr>
              <w:t>）</w:t>
            </w:r>
            <w:r>
              <w:rPr>
                <w:rFonts w:ascii="仿宋_GB2312" w:cs="仿宋_GB2312" w:eastAsia="仿宋_GB2312" w:hAnsi="仿宋_GB2312" w:hint="eastAsia"/>
                <w:sz w:val="24"/>
                <w:szCs w:val="24"/>
              </w:rPr>
              <w:t>备案证明等材料</w:t>
            </w:r>
          </w:p>
        </w:tc>
        <w:tc>
          <w:tcPr>
            <w:tcW w:w="2504"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已经设立的有在线培训业务的培训机构需提供；其他类型</w:t>
            </w:r>
            <w:r>
              <w:rPr>
                <w:rFonts w:ascii="仿宋_GB2312" w:cs="仿宋_GB2312" w:eastAsia="仿宋_GB2312" w:hAnsi="仿宋_GB2312" w:hint="eastAsia"/>
                <w:sz w:val="24"/>
                <w:szCs w:val="24"/>
                <w:lang w:eastAsia="zh-CN"/>
              </w:rPr>
              <w:t>（</w:t>
            </w:r>
            <w:r>
              <w:rPr>
                <w:rFonts w:ascii="仿宋_GB2312" w:cs="仿宋_GB2312" w:eastAsia="仿宋_GB2312" w:hAnsi="仿宋_GB2312" w:hint="eastAsia"/>
                <w:sz w:val="24"/>
                <w:szCs w:val="24"/>
              </w:rPr>
              <w:t>尚未正式开展在线培训业务的</w:t>
            </w:r>
            <w:r>
              <w:rPr>
                <w:rFonts w:ascii="仿宋_GB2312" w:cs="仿宋_GB2312" w:eastAsia="仿宋_GB2312" w:hAnsi="仿宋_GB2312" w:hint="eastAsia"/>
                <w:sz w:val="24"/>
                <w:szCs w:val="24"/>
                <w:lang w:eastAsia="zh-CN"/>
              </w:rPr>
              <w:t>）</w:t>
            </w:r>
            <w:r>
              <w:rPr>
                <w:rFonts w:ascii="仿宋_GB2312" w:cs="仿宋_GB2312" w:eastAsia="仿宋_GB2312" w:hAnsi="仿宋_GB2312" w:hint="eastAsia"/>
                <w:sz w:val="24"/>
                <w:szCs w:val="24"/>
              </w:rPr>
              <w:t>暂时不需要提供；网络安全等级保护测评与备案材料应当是二级或二级以上。</w:t>
            </w:r>
          </w:p>
        </w:tc>
        <w:tc>
          <w:tcPr>
            <w:tcW w:w="533"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r>
      <w:tr>
        <w:tblPrEx/>
        <w:trPr>
          <w:trHeight w:val="749" w:hRule="atLeast"/>
        </w:trPr>
        <w:tc>
          <w:tcPr>
            <w:tcW w:w="50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hint="eastAsia"/>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both"/>
              <w:textAlignment w:val="auto"/>
              <w:rPr>
                <w:rFonts w:hint="eastAsia"/>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hint="eastAsia"/>
                <w:lang w:val="en-US" w:eastAsia="zh-CN"/>
              </w:rPr>
            </w:pPr>
            <w:r>
              <w:rPr>
                <w:rFonts w:ascii="仿宋_GB2312" w:cs="仿宋_GB2312" w:eastAsia="仿宋_GB2312" w:hAnsi="仿宋_GB2312" w:hint="eastAsia"/>
                <w:sz w:val="24"/>
                <w:szCs w:val="24"/>
                <w:lang w:val="en-US" w:eastAsia="zh-CN"/>
              </w:rPr>
              <w:t>17</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282" w:firstLineChars="0"/>
              <w:jc w:val="center"/>
              <w:textAlignment w:val="auto"/>
              <w:rPr>
                <w:rFonts w:hint="eastAsia"/>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Calibri" w:cs="宋体" w:eastAsia="宋体" w:hAnsi="Calibri" w:hint="eastAsia"/>
                <w:kern w:val="2"/>
                <w:sz w:val="21"/>
                <w:szCs w:val="24"/>
                <w:lang w:val="en-US" w:bidi="ar-SA" w:eastAsia="zh-CN"/>
              </w:rPr>
            </w:pP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p>
            <w:pPr>
              <w:pStyle w:val="style0"/>
              <w:keepNext w:val="false"/>
              <w:keepLines w:val="false"/>
              <w:pageBreakBefore w:val="false"/>
              <w:widowControl w:val="false"/>
              <w:numPr>
                <w:ilvl w:val="0"/>
                <w:numId w:val="0"/>
              </w:numPr>
              <w:tabs>
                <w:tab w:val="left" w:leader="none" w:pos="624"/>
              </w:tabs>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rPr>
              <w:t>联合办学协议</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c>
          <w:tcPr>
            <w:tcW w:w="2504"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两个以上举办者联合举办培训机构的需提交。协议内容需明确各自计入注册资本或开办资 金的出资数额</w:t>
            </w:r>
            <w:r>
              <w:rPr>
                <w:rFonts w:ascii="仿宋_GB2312" w:cs="仿宋_GB2312" w:eastAsia="仿宋_GB2312" w:hAnsi="仿宋_GB2312" w:hint="eastAsia"/>
                <w:sz w:val="24"/>
                <w:szCs w:val="24"/>
                <w:lang w:eastAsia="zh-CN"/>
              </w:rPr>
              <w:t>（</w:t>
            </w:r>
            <w:r>
              <w:rPr>
                <w:rFonts w:ascii="仿宋_GB2312" w:cs="仿宋_GB2312" w:eastAsia="仿宋_GB2312" w:hAnsi="仿宋_GB2312" w:hint="eastAsia"/>
                <w:sz w:val="24"/>
                <w:szCs w:val="24"/>
              </w:rPr>
              <w:t>非营利性</w:t>
            </w:r>
            <w:r>
              <w:rPr>
                <w:rFonts w:ascii="仿宋_GB2312" w:cs="仿宋_GB2312" w:eastAsia="仿宋_GB2312" w:hAnsi="仿宋_GB2312" w:hint="eastAsia"/>
                <w:sz w:val="24"/>
                <w:szCs w:val="24"/>
                <w:lang w:eastAsia="zh-CN"/>
              </w:rPr>
              <w:t>）</w:t>
            </w:r>
            <w:r>
              <w:rPr>
                <w:rFonts w:ascii="仿宋_GB2312" w:cs="仿宋_GB2312" w:eastAsia="仿宋_GB2312" w:hAnsi="仿宋_GB2312" w:hint="eastAsia"/>
                <w:sz w:val="24"/>
                <w:szCs w:val="24"/>
              </w:rPr>
              <w:t>/各方出资的数额</w:t>
            </w:r>
            <w:r>
              <w:rPr>
                <w:rFonts w:ascii="仿宋_GB2312" w:cs="仿宋_GB2312" w:eastAsia="仿宋_GB2312" w:hAnsi="仿宋_GB2312" w:hint="eastAsia"/>
                <w:sz w:val="24"/>
                <w:szCs w:val="24"/>
                <w:lang w:eastAsia="zh-CN"/>
              </w:rPr>
              <w:t>（</w:t>
            </w:r>
            <w:r>
              <w:rPr>
                <w:rFonts w:ascii="仿宋_GB2312" w:cs="仿宋_GB2312" w:eastAsia="仿宋_GB2312" w:hAnsi="仿宋_GB2312" w:hint="eastAsia"/>
                <w:sz w:val="24"/>
                <w:szCs w:val="24"/>
              </w:rPr>
              <w:t>营利性</w:t>
            </w:r>
            <w:r>
              <w:rPr>
                <w:rFonts w:ascii="仿宋_GB2312" w:cs="仿宋_GB2312" w:eastAsia="仿宋_GB2312" w:hAnsi="仿宋_GB2312" w:hint="eastAsia"/>
                <w:sz w:val="24"/>
                <w:szCs w:val="24"/>
                <w:lang w:eastAsia="zh-CN"/>
              </w:rPr>
              <w:t>）</w:t>
            </w:r>
            <w:r>
              <w:rPr>
                <w:rFonts w:ascii="仿宋_GB2312" w:cs="仿宋_GB2312" w:eastAsia="仿宋_GB2312" w:hAnsi="仿宋_GB2312" w:hint="eastAsia"/>
                <w:sz w:val="24"/>
                <w:szCs w:val="24"/>
              </w:rPr>
              <w:t>、方式以及比例，各自权利义务和争议解决办法等内容；</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单独举办则无需提供。</w:t>
            </w:r>
          </w:p>
        </w:tc>
        <w:tc>
          <w:tcPr>
            <w:tcW w:w="533"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r>
      <w:tr>
        <w:tblPrEx/>
        <w:trPr>
          <w:trHeight w:val="749" w:hRule="atLeast"/>
        </w:trPr>
        <w:tc>
          <w:tcPr>
            <w:tcW w:w="50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eastAsia"/>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center"/>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val="en-US" w:eastAsia="zh-CN"/>
              </w:rPr>
              <w:t>18</w:t>
            </w:r>
          </w:p>
        </w:tc>
        <w:tc>
          <w:tcPr>
            <w:tcW w:w="1461"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捐赠协议</w:t>
            </w:r>
            <w:r>
              <w:rPr>
                <w:rFonts w:ascii="仿宋_GB2312" w:cs="仿宋_GB2312" w:eastAsia="仿宋_GB2312" w:hAnsi="仿宋_GB2312" w:hint="eastAsia"/>
                <w:sz w:val="24"/>
                <w:szCs w:val="24"/>
                <w:lang w:eastAsia="zh-CN"/>
              </w:rPr>
              <w:t>（</w:t>
            </w:r>
            <w:r>
              <w:rPr>
                <w:rFonts w:ascii="仿宋_GB2312" w:cs="仿宋_GB2312" w:eastAsia="仿宋_GB2312" w:hAnsi="仿宋_GB2312" w:hint="eastAsia"/>
                <w:sz w:val="24"/>
                <w:szCs w:val="24"/>
              </w:rPr>
              <w:t>非营利性 培训机构，如有</w:t>
            </w:r>
            <w:r>
              <w:rPr>
                <w:rFonts w:ascii="仿宋_GB2312" w:cs="仿宋_GB2312" w:eastAsia="仿宋_GB2312" w:hAnsi="仿宋_GB2312" w:hint="eastAsia"/>
                <w:sz w:val="24"/>
                <w:szCs w:val="24"/>
                <w:lang w:eastAsia="zh-CN"/>
              </w:rPr>
              <w:t>）</w:t>
            </w:r>
          </w:p>
        </w:tc>
        <w:tc>
          <w:tcPr>
            <w:tcW w:w="2504"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资产来源属捐赠性质的需提供。内容应载明 捐赠人的姓名、所捐财产的数额、用途和管理方 法及相关有效文件。</w:t>
            </w:r>
          </w:p>
        </w:tc>
        <w:tc>
          <w:tcPr>
            <w:tcW w:w="533" w:type="pct"/>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仿宋_GB2312" w:cs="仿宋_GB2312" w:eastAsia="仿宋_GB2312" w:hAnsi="仿宋_GB2312" w:hint="eastAsia"/>
                <w:sz w:val="24"/>
                <w:szCs w:val="24"/>
                <w:lang w:val="en-US" w:eastAsia="zh-CN"/>
              </w:rPr>
            </w:pPr>
          </w:p>
        </w:tc>
      </w:tr>
      <w:tr>
        <w:tblPrEx/>
        <w:trPr>
          <w:trHeight w:val="749" w:hRule="atLeast"/>
        </w:trPr>
        <w:tc>
          <w:tcPr>
            <w:tcW w:w="5000" w:type="pct"/>
            <w:gridSpan w:val="4"/>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jc w:val="both"/>
              <w:textAlignment w:val="auto"/>
              <w:rPr>
                <w:rFonts w:ascii="黑体" w:cs="黑体" w:eastAsia="黑体" w:hAnsi="黑体" w:hint="eastAsia"/>
                <w:sz w:val="24"/>
                <w:szCs w:val="24"/>
              </w:rPr>
            </w:pPr>
            <w:r>
              <w:rPr>
                <w:rFonts w:ascii="黑体" w:cs="黑体" w:eastAsia="黑体" w:hAnsi="黑体" w:hint="eastAsia"/>
                <w:sz w:val="24"/>
                <w:szCs w:val="24"/>
              </w:rPr>
              <w:t>备注：</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一、所有提交材料</w:t>
            </w:r>
            <w:r>
              <w:rPr>
                <w:rFonts w:ascii="仿宋_GB2312" w:cs="仿宋_GB2312" w:eastAsia="仿宋_GB2312" w:hAnsi="仿宋_GB2312" w:hint="eastAsia"/>
                <w:b/>
                <w:bCs/>
                <w:sz w:val="24"/>
                <w:szCs w:val="24"/>
              </w:rPr>
              <w:t>一式三份</w:t>
            </w:r>
            <w:r>
              <w:rPr>
                <w:rFonts w:ascii="仿宋_GB2312" w:cs="仿宋_GB2312" w:eastAsia="仿宋_GB2312" w:hAnsi="仿宋_GB2312" w:hint="eastAsia"/>
                <w:sz w:val="24"/>
                <w:szCs w:val="24"/>
              </w:rPr>
              <w:t>，所有内容须真实无误。</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二、填写内容字迹要清晰、工整，若手写，请用黑色签字笔填写。</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三、材料中的时间、电话号码一律用阿拉伯数字填写。</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四、申请人提交材料为复印件的，复印件必须清晰、印鉴齐全、内容齐全、字迹清晰，需申请人在所有复印件上签章，并在提交材料时带上原件进行核对。</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五、如培训人员的资格证明文件是在国外获得的，该资格证明文件需经我驻外使领馆认证，或获得资格证明所在国驻华使领馆认证或公证机构公证；在港澳特别行政区和中国台湾地区获得的，需经所在地区公证机构公证。其中，在国外、港澳特别行政区和中国台湾地区获得的学历证书，还可到我国学历认证机构认证。关于文书领事认证规定可查询中国领事服务网</w:t>
            </w:r>
            <w:r>
              <w:rPr>
                <w:rFonts w:ascii="仿宋_GB2312" w:cs="仿宋_GB2312" w:eastAsia="仿宋_GB2312" w:hAnsi="仿宋_GB2312" w:hint="eastAsia"/>
                <w:sz w:val="24"/>
                <w:szCs w:val="24"/>
                <w:lang w:eastAsia="zh-CN"/>
              </w:rPr>
              <w:t>（</w:t>
            </w:r>
            <w:r>
              <w:rPr>
                <w:rFonts w:ascii="仿宋_GB2312" w:cs="仿宋_GB2312" w:eastAsia="仿宋_GB2312" w:hAnsi="仿宋_GB2312" w:hint="eastAsia"/>
                <w:sz w:val="24"/>
                <w:szCs w:val="24"/>
              </w:rPr>
              <w:t xml:space="preserve">网址 </w:t>
            </w:r>
            <w:r>
              <w:rPr>
                <w:rFonts w:ascii="仿宋_GB2312" w:cs="仿宋_GB2312" w:eastAsia="仿宋_GB2312" w:hAnsi="仿宋_GB2312" w:hint="eastAsia"/>
                <w:sz w:val="24"/>
                <w:szCs w:val="24"/>
              </w:rPr>
              <w:fldChar w:fldCharType="begin"/>
            </w:r>
            <w:r>
              <w:rPr>
                <w:rFonts w:ascii="仿宋_GB2312" w:cs="仿宋_GB2312" w:eastAsia="仿宋_GB2312" w:hAnsi="仿宋_GB2312" w:hint="eastAsia"/>
                <w:sz w:val="24"/>
                <w:szCs w:val="24"/>
              </w:rPr>
              <w:instrText xml:space="preserve"> HYPERLINK "http://cs.mfa.gov.cn/" </w:instrText>
            </w:r>
            <w:r>
              <w:rPr>
                <w:rFonts w:ascii="仿宋_GB2312" w:cs="仿宋_GB2312" w:eastAsia="仿宋_GB2312" w:hAnsi="仿宋_GB2312" w:hint="eastAsia"/>
                <w:sz w:val="24"/>
                <w:szCs w:val="24"/>
              </w:rPr>
              <w:fldChar w:fldCharType="separate"/>
            </w:r>
            <w:r>
              <w:rPr>
                <w:rFonts w:ascii="仿宋_GB2312" w:cs="仿宋_GB2312" w:eastAsia="仿宋_GB2312" w:hAnsi="仿宋_GB2312" w:hint="eastAsia"/>
                <w:sz w:val="24"/>
                <w:szCs w:val="24"/>
              </w:rPr>
              <w:t>http://cs.mfa.gov.cn/</w:t>
            </w:r>
            <w:r>
              <w:rPr>
                <w:rFonts w:ascii="仿宋_GB2312" w:cs="仿宋_GB2312" w:eastAsia="仿宋_GB2312" w:hAnsi="仿宋_GB2312" w:hint="eastAsia"/>
                <w:sz w:val="24"/>
                <w:szCs w:val="24"/>
              </w:rPr>
              <w:fldChar w:fldCharType="end"/>
            </w:r>
            <w:r>
              <w:rPr>
                <w:rFonts w:ascii="仿宋_GB2312" w:cs="仿宋_GB2312" w:eastAsia="仿宋_GB2312" w:hAnsi="仿宋_GB2312" w:hint="eastAsia"/>
                <w:sz w:val="24"/>
                <w:szCs w:val="24"/>
              </w:rPr>
              <w:t xml:space="preserve"> </w:t>
            </w:r>
            <w:r>
              <w:rPr>
                <w:rFonts w:ascii="仿宋_GB2312" w:cs="仿宋_GB2312" w:eastAsia="仿宋_GB2312" w:hAnsi="仿宋_GB2312" w:hint="eastAsia"/>
                <w:sz w:val="24"/>
                <w:szCs w:val="24"/>
                <w:lang w:eastAsia="zh-CN"/>
              </w:rPr>
              <w:t>）</w:t>
            </w:r>
            <w:r>
              <w:rPr>
                <w:rFonts w:ascii="仿宋_GB2312" w:cs="仿宋_GB2312" w:eastAsia="仿宋_GB2312" w:hAnsi="仿宋_GB2312" w:hint="eastAsia"/>
                <w:sz w:val="24"/>
                <w:szCs w:val="24"/>
              </w:rPr>
              <w:t>，或具体联系相应的中国驻外使领馆。</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六、聘用外籍人员任教或任职的，需提交外籍人员的外国人工作许可证、护照</w:t>
            </w:r>
            <w:r>
              <w:rPr>
                <w:rFonts w:ascii="仿宋_GB2312" w:cs="仿宋_GB2312" w:eastAsia="仿宋_GB2312" w:hAnsi="仿宋_GB2312" w:hint="eastAsia"/>
                <w:sz w:val="24"/>
                <w:szCs w:val="24"/>
                <w:lang w:eastAsia="zh-CN"/>
              </w:rPr>
              <w:t>（</w:t>
            </w:r>
            <w:r>
              <w:rPr>
                <w:rFonts w:ascii="仿宋_GB2312" w:cs="仿宋_GB2312" w:eastAsia="仿宋_GB2312" w:hAnsi="仿宋_GB2312" w:hint="eastAsia"/>
                <w:sz w:val="24"/>
                <w:szCs w:val="24"/>
              </w:rPr>
              <w:t>或国际旅行证件</w:t>
            </w:r>
            <w:r>
              <w:rPr>
                <w:rFonts w:ascii="仿宋_GB2312" w:cs="仿宋_GB2312" w:eastAsia="仿宋_GB2312" w:hAnsi="仿宋_GB2312" w:hint="eastAsia"/>
                <w:sz w:val="24"/>
                <w:szCs w:val="24"/>
                <w:lang w:eastAsia="zh-CN"/>
              </w:rPr>
              <w:t>）</w:t>
            </w:r>
            <w:r>
              <w:rPr>
                <w:rFonts w:ascii="仿宋_GB2312" w:cs="仿宋_GB2312" w:eastAsia="仿宋_GB2312" w:hAnsi="仿宋_GB2312" w:hint="eastAsia"/>
                <w:sz w:val="24"/>
                <w:szCs w:val="24"/>
              </w:rPr>
              <w:t>信息页、签证页、入境签章页或居留许可信息页，并依照《中华人民共和国 出境入境管理法》及外国人在华工作有关规定办理登记及备案手续。</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rPr>
              <w:t>七、如代理人代办，则需提供代理人有效身份证件复印件以及授权委托书</w:t>
            </w:r>
            <w:r>
              <w:rPr>
                <w:rFonts w:ascii="仿宋_GB2312" w:cs="仿宋_GB2312" w:eastAsia="仿宋_GB2312" w:hAnsi="仿宋_GB2312" w:hint="eastAsia"/>
                <w:sz w:val="24"/>
                <w:szCs w:val="24"/>
                <w:lang w:eastAsia="zh-CN"/>
              </w:rPr>
              <w:t>（</w:t>
            </w:r>
            <w:r>
              <w:rPr>
                <w:rFonts w:ascii="仿宋_GB2312" w:cs="仿宋_GB2312" w:eastAsia="仿宋_GB2312" w:hAnsi="仿宋_GB2312" w:hint="eastAsia"/>
                <w:sz w:val="24"/>
                <w:szCs w:val="24"/>
              </w:rPr>
              <w:t>举办者盖章、法定代表人签名</w:t>
            </w:r>
            <w:r>
              <w:rPr>
                <w:rFonts w:ascii="仿宋_GB2312" w:cs="仿宋_GB2312" w:eastAsia="仿宋_GB2312" w:hAnsi="仿宋_GB2312" w:hint="eastAsia"/>
                <w:sz w:val="24"/>
                <w:szCs w:val="24"/>
                <w:lang w:eastAsia="zh-CN"/>
              </w:rPr>
              <w:t>）</w:t>
            </w:r>
            <w:r>
              <w:rPr>
                <w:rFonts w:ascii="仿宋_GB2312" w:cs="仿宋_GB2312" w:eastAsia="仿宋_GB2312" w:hAnsi="仿宋_GB2312" w:hint="eastAsia"/>
                <w:sz w:val="24"/>
                <w:szCs w:val="24"/>
              </w:rPr>
              <w:t>。</w:t>
            </w:r>
          </w:p>
        </w:tc>
      </w:tr>
    </w:tbl>
    <w:p>
      <w:pPr>
        <w:pStyle w:val="style0"/>
        <w:keepNext w:val="false"/>
        <w:keepLines w:val="false"/>
        <w:pageBreakBefore w:val="false"/>
        <w:widowControl/>
        <w:kinsoku/>
        <w:wordWrap/>
        <w:overflowPunct/>
        <w:topLinePunct w:val="false"/>
        <w:autoSpaceDE/>
        <w:autoSpaceDN/>
        <w:adjustRightInd/>
        <w:snapToGrid/>
        <w:spacing w:lineRule="auto" w:line="240"/>
        <w:ind w:firstLine="0" w:firstLineChars="0"/>
        <w:textAlignment w:val="auto"/>
        <w:outlineLvl w:val="2"/>
        <w:rPr>
          <w:rFonts w:ascii="黑体" w:eastAsia="黑体" w:hAnsi="黑体" w:hint="default"/>
          <w:sz w:val="32"/>
          <w:szCs w:val="32"/>
        </w:rPr>
      </w:pPr>
      <w:r>
        <w:rPr>
          <w:rFonts w:ascii="黑体" w:eastAsia="黑体" w:hAnsi="黑体" w:hint="eastAsia"/>
          <w:sz w:val="32"/>
          <w:szCs w:val="32"/>
          <w:lang w:eastAsia="zh-CN"/>
        </w:rPr>
        <w:t>五</w:t>
      </w:r>
      <w:r>
        <w:rPr>
          <w:rFonts w:ascii="黑体" w:eastAsia="黑体" w:hAnsi="黑体" w:hint="eastAsia"/>
          <w:sz w:val="32"/>
          <w:szCs w:val="32"/>
        </w:rPr>
        <w:t>、办理时限</w:t>
      </w:r>
    </w:p>
    <w:tbl>
      <w:tblPr>
        <w:tblStyle w:val="style105"/>
        <w:tblW w:w="8888" w:type="dxa"/>
        <w:tblInd w:w="-33" w:type="dxa"/>
        <w:tblLayout w:type="fixed"/>
        <w:tblCellMar>
          <w:top w:w="0" w:type="dxa"/>
          <w:left w:w="0" w:type="dxa"/>
          <w:bottom w:w="0" w:type="dxa"/>
          <w:right w:w="0" w:type="dxa"/>
        </w:tblCellMar>
      </w:tblPr>
      <w:tblGrid>
        <w:gridCol w:w="1562"/>
        <w:gridCol w:w="1341"/>
        <w:gridCol w:w="1560"/>
        <w:gridCol w:w="4425"/>
      </w:tblGrid>
      <w:tr>
        <w:trPr>
          <w:trHeight w:val="483" w:hRule="atLeast"/>
        </w:trPr>
        <w:tc>
          <w:tcPr>
            <w:tcW w:w="1562" w:type="dxa"/>
            <w:tcBorders>
              <w:top w:val="single" w:sz="4" w:space="0" w:color="auto"/>
              <w:left w:val="single" w:sz="4" w:space="0" w:color="auto"/>
              <w:bottom w:val="single" w:sz="4" w:space="0" w:color="auto"/>
              <w:right w:val="single" w:sz="4" w:space="0" w:color="auto"/>
            </w:tcBorders>
            <w:shd w:val="clear" w:color="auto" w:fill="auto"/>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黑体" w:cs="黑体" w:eastAsia="黑体" w:hAnsi="黑体" w:hint="eastAsia"/>
                <w:b/>
                <w:sz w:val="24"/>
                <w:szCs w:val="24"/>
              </w:rPr>
            </w:pPr>
            <w:r>
              <w:rPr>
                <w:rFonts w:ascii="黑体" w:cs="黑体" w:eastAsia="黑体" w:hAnsi="黑体" w:hint="eastAsia"/>
                <w:b/>
                <w:sz w:val="24"/>
                <w:szCs w:val="24"/>
              </w:rPr>
              <w:t>申请时限</w:t>
            </w:r>
          </w:p>
        </w:tc>
        <w:tc>
          <w:tcPr>
            <w:tcW w:w="7326" w:type="dxa"/>
            <w:gridSpan w:val="3"/>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无。</w:t>
            </w:r>
          </w:p>
        </w:tc>
      </w:tr>
      <w:tr>
        <w:tblPrEx/>
        <w:trPr>
          <w:trHeight w:val="450" w:hRule="atLeast"/>
        </w:trPr>
        <w:tc>
          <w:tcPr>
            <w:tcW w:w="1562" w:type="dxa"/>
            <w:tcBorders>
              <w:top w:val="single" w:sz="4" w:space="0" w:color="auto"/>
              <w:left w:val="single" w:sz="4" w:space="0" w:color="auto"/>
              <w:bottom w:val="single" w:sz="4" w:space="0" w:color="auto"/>
              <w:right w:val="single" w:sz="4" w:space="0" w:color="auto"/>
            </w:tcBorders>
            <w:shd w:val="clear" w:color="auto" w:fill="auto"/>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黑体" w:cs="黑体" w:eastAsia="黑体" w:hAnsi="黑体" w:hint="eastAsia"/>
                <w:b/>
                <w:sz w:val="24"/>
                <w:szCs w:val="24"/>
              </w:rPr>
            </w:pPr>
            <w:r>
              <w:rPr>
                <w:rFonts w:ascii="黑体" w:cs="黑体" w:eastAsia="黑体" w:hAnsi="黑体" w:hint="eastAsia"/>
                <w:b/>
                <w:sz w:val="24"/>
                <w:szCs w:val="24"/>
              </w:rPr>
              <w:t>受理时限</w:t>
            </w:r>
          </w:p>
        </w:tc>
        <w:tc>
          <w:tcPr>
            <w:tcW w:w="1341"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 xml:space="preserve">5个工作日            </w:t>
            </w:r>
          </w:p>
        </w:tc>
        <w:tc>
          <w:tcPr>
            <w:tcW w:w="1560" w:type="dxa"/>
            <w:tcBorders>
              <w:top w:val="single" w:sz="4" w:space="0" w:color="auto"/>
              <w:left w:val="nil"/>
              <w:bottom w:val="single" w:sz="4" w:space="0" w:color="auto"/>
              <w:right w:val="single" w:sz="4" w:space="0" w:color="auto"/>
            </w:tcBorders>
            <w:shd w:val="clear" w:color="auto" w:fill="auto"/>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both"/>
              <w:textAlignment w:val="auto"/>
              <w:rPr>
                <w:rFonts w:ascii="黑体" w:cs="黑体" w:eastAsia="黑体" w:hAnsi="黑体" w:hint="eastAsia"/>
                <w:b/>
                <w:sz w:val="24"/>
                <w:szCs w:val="24"/>
              </w:rPr>
            </w:pPr>
            <w:r>
              <w:rPr>
                <w:rFonts w:ascii="黑体" w:cs="黑体" w:eastAsia="黑体" w:hAnsi="黑体" w:hint="eastAsia"/>
                <w:b/>
                <w:sz w:val="24"/>
                <w:szCs w:val="24"/>
              </w:rPr>
              <w:t>受理时限说明</w:t>
            </w:r>
          </w:p>
        </w:tc>
        <w:tc>
          <w:tcPr>
            <w:tcW w:w="4425"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textAlignment w:val="auto"/>
              <w:rPr>
                <w:rFonts w:ascii="仿宋_GB2312" w:cs="仿宋_GB2312" w:eastAsia="仿宋_GB2312" w:hAnsi="仿宋_GB2312" w:hint="eastAsia"/>
                <w:sz w:val="24"/>
                <w:szCs w:val="24"/>
                <w:lang w:eastAsia="zh-CN"/>
              </w:rPr>
            </w:pPr>
            <w:r>
              <w:rPr>
                <w:rFonts w:ascii="仿宋_GB2312" w:cs="仿宋_GB2312" w:eastAsia="仿宋_GB2312" w:hAnsi="仿宋_GB2312" w:hint="eastAsia"/>
                <w:sz w:val="24"/>
                <w:szCs w:val="24"/>
              </w:rPr>
              <w:t>自接到申请之日起5个工作日内作出受理或不予受理决定</w:t>
            </w:r>
            <w:r>
              <w:rPr>
                <w:rFonts w:ascii="仿宋_GB2312" w:cs="仿宋_GB2312" w:eastAsia="仿宋_GB2312" w:hAnsi="仿宋_GB2312" w:hint="eastAsia"/>
                <w:sz w:val="24"/>
                <w:szCs w:val="24"/>
                <w:lang w:eastAsia="zh-CN"/>
              </w:rPr>
              <w:t>。</w:t>
            </w:r>
          </w:p>
        </w:tc>
      </w:tr>
      <w:tr>
        <w:tblPrEx/>
        <w:trPr>
          <w:trHeight w:val="298" w:hRule="atLeast"/>
        </w:trPr>
        <w:tc>
          <w:tcPr>
            <w:tcW w:w="1562" w:type="dxa"/>
            <w:tcBorders>
              <w:top w:val="single" w:sz="4" w:space="0" w:color="auto"/>
              <w:left w:val="single" w:sz="4" w:space="0" w:color="auto"/>
              <w:bottom w:val="single" w:sz="4" w:space="0" w:color="auto"/>
              <w:right w:val="single" w:sz="4" w:space="0" w:color="auto"/>
            </w:tcBorders>
            <w:shd w:val="clear" w:color="auto" w:fill="auto"/>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黑体" w:cs="黑体" w:eastAsia="黑体" w:hAnsi="黑体" w:hint="eastAsia"/>
                <w:b/>
                <w:sz w:val="24"/>
                <w:szCs w:val="24"/>
              </w:rPr>
            </w:pPr>
            <w:r>
              <w:rPr>
                <w:rFonts w:ascii="黑体" w:cs="黑体" w:eastAsia="黑体" w:hAnsi="黑体" w:hint="eastAsia"/>
                <w:b/>
                <w:sz w:val="24"/>
                <w:szCs w:val="24"/>
              </w:rPr>
              <w:t>法定办理时限</w:t>
            </w:r>
          </w:p>
        </w:tc>
        <w:tc>
          <w:tcPr>
            <w:tcW w:w="1341"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 xml:space="preserve">90个自然日            </w:t>
            </w:r>
          </w:p>
        </w:tc>
        <w:tc>
          <w:tcPr>
            <w:tcW w:w="1560" w:type="dxa"/>
            <w:tcBorders>
              <w:top w:val="single" w:sz="4" w:space="0" w:color="auto"/>
              <w:left w:val="nil"/>
              <w:bottom w:val="single" w:sz="4" w:space="0" w:color="auto"/>
              <w:right w:val="single" w:sz="4" w:space="0" w:color="auto"/>
            </w:tcBorders>
            <w:shd w:val="clear" w:color="auto" w:fill="auto"/>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both"/>
              <w:textAlignment w:val="auto"/>
              <w:rPr>
                <w:rFonts w:ascii="黑体" w:cs="黑体" w:eastAsia="黑体" w:hAnsi="黑体" w:hint="eastAsia"/>
                <w:b/>
                <w:sz w:val="24"/>
                <w:szCs w:val="24"/>
              </w:rPr>
            </w:pPr>
            <w:r>
              <w:rPr>
                <w:rFonts w:ascii="黑体" w:cs="黑体" w:eastAsia="黑体" w:hAnsi="黑体" w:hint="eastAsia"/>
                <w:b/>
                <w:sz w:val="24"/>
                <w:szCs w:val="24"/>
              </w:rPr>
              <w:t>法定办理时限说明</w:t>
            </w:r>
          </w:p>
        </w:tc>
        <w:tc>
          <w:tcPr>
            <w:tcW w:w="4425" w:type="dxa"/>
            <w:tcBorders>
              <w:top w:val="single" w:sz="4" w:space="0" w:color="auto"/>
              <w:left w:val="nil"/>
              <w:bottom w:val="single" w:sz="4" w:space="0" w:color="auto"/>
              <w:right w:val="single" w:sz="4" w:space="0" w:color="auto"/>
            </w:tcBorders>
            <w:shd w:val="clear" w:color="auto" w:fill="auto"/>
            <w:tcMar>
              <w:top w:w="0" w:type="dxa"/>
              <w:left w:w="30" w:type="dxa"/>
              <w:bottom w:w="0" w:type="dxa"/>
              <w:right w:w="30"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法定时限由《中华人民共和国民办教育促进法》第十</w:t>
            </w:r>
            <w:r>
              <w:rPr>
                <w:rFonts w:ascii="仿宋_GB2312" w:cs="仿宋_GB2312" w:eastAsia="仿宋_GB2312" w:hAnsi="仿宋_GB2312" w:hint="eastAsia"/>
                <w:sz w:val="24"/>
                <w:szCs w:val="24"/>
                <w:lang w:eastAsia="zh-CN"/>
              </w:rPr>
              <w:t>七</w:t>
            </w:r>
            <w:r>
              <w:rPr>
                <w:rFonts w:ascii="仿宋_GB2312" w:cs="仿宋_GB2312" w:eastAsia="仿宋_GB2312" w:hAnsi="仿宋_GB2312" w:hint="eastAsia"/>
                <w:sz w:val="24"/>
                <w:szCs w:val="24"/>
              </w:rPr>
              <w:t>条规定，</w:t>
            </w:r>
            <w:r>
              <w:rPr>
                <w:rFonts w:ascii="仿宋_GB2312" w:cs="仿宋_GB2312" w:eastAsia="仿宋_GB2312" w:hAnsi="仿宋_GB2312" w:hint="eastAsia"/>
                <w:sz w:val="24"/>
                <w:szCs w:val="24"/>
                <w:lang w:eastAsia="zh-CN"/>
              </w:rPr>
              <w:t>申请正式设立民办学校的，</w:t>
            </w:r>
            <w:r>
              <w:rPr>
                <w:rFonts w:ascii="仿宋_GB2312" w:cs="仿宋_GB2312" w:eastAsia="仿宋_GB2312" w:hAnsi="仿宋_GB2312" w:hint="eastAsia"/>
                <w:sz w:val="24"/>
                <w:szCs w:val="24"/>
              </w:rPr>
              <w:t>审批机关应当自受理之日起</w:t>
            </w:r>
            <w:r>
              <w:rPr>
                <w:rFonts w:ascii="仿宋_GB2312" w:cs="仿宋_GB2312" w:eastAsia="仿宋_GB2312" w:hAnsi="仿宋_GB2312" w:hint="eastAsia"/>
                <w:sz w:val="24"/>
                <w:szCs w:val="24"/>
                <w:lang w:eastAsia="zh-CN"/>
              </w:rPr>
              <w:t>三个月</w:t>
            </w:r>
            <w:r>
              <w:rPr>
                <w:rFonts w:ascii="仿宋_GB2312" w:cs="仿宋_GB2312" w:eastAsia="仿宋_GB2312" w:hAnsi="仿宋_GB2312" w:hint="eastAsia"/>
                <w:sz w:val="24"/>
                <w:szCs w:val="24"/>
              </w:rPr>
              <w:t>内以书面形式作出是否</w:t>
            </w:r>
            <w:r>
              <w:rPr>
                <w:rFonts w:ascii="仿宋_GB2312" w:cs="仿宋_GB2312" w:eastAsia="仿宋_GB2312" w:hAnsi="仿宋_GB2312" w:hint="eastAsia"/>
                <w:sz w:val="24"/>
                <w:szCs w:val="24"/>
                <w:lang w:eastAsia="zh-CN"/>
              </w:rPr>
              <w:t>批准</w:t>
            </w:r>
            <w:r>
              <w:rPr>
                <w:rFonts w:ascii="仿宋_GB2312" w:cs="仿宋_GB2312" w:eastAsia="仿宋_GB2312" w:hAnsi="仿宋_GB2312" w:hint="eastAsia"/>
                <w:sz w:val="24"/>
                <w:szCs w:val="24"/>
              </w:rPr>
              <w:t>的决定</w:t>
            </w:r>
            <w:r>
              <w:rPr>
                <w:rFonts w:ascii="仿宋_GB2312" w:cs="仿宋_GB2312" w:eastAsia="仿宋_GB2312" w:hAnsi="仿宋_GB2312" w:hint="eastAsia"/>
                <w:sz w:val="24"/>
                <w:szCs w:val="24"/>
                <w:lang w:eastAsia="zh-CN"/>
              </w:rPr>
              <w:t>，并送达申请人。</w:t>
            </w:r>
            <w:r>
              <w:rPr>
                <w:rFonts w:ascii="仿宋_GB2312" w:cs="仿宋_GB2312" w:eastAsia="仿宋_GB2312" w:hAnsi="仿宋_GB2312" w:hint="eastAsia"/>
                <w:sz w:val="24"/>
                <w:szCs w:val="24"/>
              </w:rPr>
              <w:t xml:space="preserve">          </w:t>
            </w:r>
          </w:p>
        </w:tc>
      </w:tr>
    </w:tbl>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ind w:firstLine="640" w:firstLineChars="200"/>
        <w:jc w:val="both"/>
        <w:textAlignment w:val="auto"/>
        <w:rPr>
          <w:rFonts w:ascii="黑体" w:cs="黑体" w:eastAsia="黑体" w:hAnsi="黑体" w:hint="eastAsia"/>
          <w:sz w:val="32"/>
          <w:szCs w:val="32"/>
          <w:lang w:val="en-US" w:eastAsia="zh-CN"/>
        </w:rPr>
      </w:pPr>
      <w:r>
        <w:rPr>
          <w:rFonts w:ascii="黑体" w:cs="黑体" w:eastAsia="黑体" w:hAnsi="黑体" w:hint="eastAsia"/>
          <w:sz w:val="32"/>
          <w:szCs w:val="32"/>
          <w:lang w:val="en-US" w:eastAsia="zh-CN"/>
        </w:rPr>
        <w:t>六、审批流程</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Times New Roman" w:eastAsia="仿宋_GB2312" w:hAnsi="Times New Roman" w:hint="default"/>
          <w:sz w:val="32"/>
          <w:szCs w:val="32"/>
        </w:rPr>
      </w:pPr>
      <w:r>
        <w:rPr>
          <w:rFonts w:ascii="Times New Roman" w:eastAsia="仿宋_GB2312" w:hAnsi="Times New Roman" w:hint="default"/>
          <w:sz w:val="32"/>
          <w:szCs w:val="32"/>
        </w:rPr>
        <w:t>培训机构举办者符合相应条件的可以依法办理设立手续：</w:t>
      </w:r>
    </w:p>
    <w:p>
      <w:pPr>
        <w:pStyle w:val="style0"/>
        <w:keepNext w:val="false"/>
        <w:keepLines w:val="false"/>
        <w:pageBreakBefore w:val="false"/>
        <w:kinsoku/>
        <w:wordWrap/>
        <w:overflowPunct/>
        <w:topLinePunct w:val="false"/>
        <w:autoSpaceDE/>
        <w:autoSpaceDN/>
        <w:adjustRightInd/>
        <w:snapToGrid/>
        <w:spacing w:lineRule="exact" w:line="560"/>
        <w:ind w:firstLine="640" w:firstLineChars="200"/>
        <w:textAlignment w:val="auto"/>
        <w:rPr>
          <w:rFonts w:ascii="Times New Roman" w:eastAsia="楷体_GB2312" w:hAnsi="Times New Roman" w:hint="eastAsia"/>
          <w:sz w:val="32"/>
          <w:szCs w:val="32"/>
          <w:highlight w:val="yellow"/>
        </w:rPr>
      </w:pPr>
      <w:r>
        <w:rPr>
          <w:rFonts w:ascii="Times New Roman" w:eastAsia="楷体_GB2312" w:hAnsi="Times New Roman" w:hint="default"/>
          <w:sz w:val="32"/>
          <w:szCs w:val="32"/>
        </w:rPr>
        <w:t>（一）名称申报或名称</w:t>
      </w:r>
      <w:r>
        <w:rPr>
          <w:rFonts w:ascii="Times New Roman" w:eastAsia="楷体_GB2312" w:hAnsi="Times New Roman" w:hint="eastAsia"/>
          <w:sz w:val="32"/>
          <w:szCs w:val="32"/>
        </w:rPr>
        <w:t>审核</w:t>
      </w:r>
    </w:p>
    <w:p>
      <w:pPr>
        <w:pStyle w:val="style0"/>
        <w:keepNext w:val="false"/>
        <w:keepLines w:val="false"/>
        <w:pageBreakBefore w:val="false"/>
        <w:kinsoku/>
        <w:wordWrap/>
        <w:overflowPunct/>
        <w:topLinePunct w:val="false"/>
        <w:autoSpaceDE/>
        <w:autoSpaceDN/>
        <w:adjustRightInd/>
        <w:snapToGrid/>
        <w:spacing w:lineRule="exact" w:line="560"/>
        <w:ind w:firstLine="640" w:firstLineChars="200"/>
        <w:textAlignment w:val="auto"/>
        <w:rPr>
          <w:rFonts w:ascii="Times New Roman" w:eastAsia="仿宋_GB2312" w:hAnsi="Times New Roman" w:hint="default"/>
          <w:sz w:val="32"/>
          <w:szCs w:val="32"/>
        </w:rPr>
      </w:pPr>
      <w:r>
        <w:rPr>
          <w:rFonts w:ascii="Times New Roman" w:eastAsia="仿宋_GB2312" w:hAnsi="Times New Roman" w:hint="default"/>
          <w:sz w:val="32"/>
          <w:szCs w:val="32"/>
        </w:rPr>
        <w:t>培训机构举办者在提交申请材料之前，应当根据所设立的培训机构的机构属性，至</w:t>
      </w:r>
      <w:r>
        <w:rPr>
          <w:rFonts w:ascii="Times New Roman" w:eastAsia="仿宋_GB2312" w:hAnsi="Times New Roman" w:hint="eastAsia"/>
          <w:sz w:val="32"/>
          <w:szCs w:val="32"/>
          <w:lang w:eastAsia="zh-CN"/>
        </w:rPr>
        <w:t>区</w:t>
      </w:r>
      <w:r>
        <w:rPr>
          <w:rFonts w:ascii="Times New Roman" w:eastAsia="仿宋_GB2312" w:hAnsi="Times New Roman" w:hint="default"/>
          <w:sz w:val="32"/>
          <w:szCs w:val="32"/>
        </w:rPr>
        <w:t>市场</w:t>
      </w:r>
      <w:r>
        <w:rPr>
          <w:rFonts w:ascii="Times New Roman" w:eastAsia="仿宋_GB2312" w:hAnsi="Times New Roman" w:hint="eastAsia"/>
          <w:sz w:val="32"/>
          <w:szCs w:val="32"/>
          <w:lang w:eastAsia="zh-CN"/>
        </w:rPr>
        <w:t>监督和管理局</w:t>
      </w:r>
      <w:r>
        <w:rPr>
          <w:rFonts w:ascii="Times New Roman" w:eastAsia="仿宋_GB2312" w:hAnsi="Times New Roman" w:hint="default"/>
          <w:sz w:val="32"/>
          <w:szCs w:val="32"/>
        </w:rPr>
        <w:t>依法办理名称自主申报，或者至</w:t>
      </w:r>
      <w:r>
        <w:rPr>
          <w:rFonts w:ascii="Times New Roman" w:eastAsia="仿宋_GB2312" w:hAnsi="Times New Roman" w:hint="eastAsia"/>
          <w:sz w:val="32"/>
          <w:szCs w:val="32"/>
          <w:lang w:eastAsia="zh-CN"/>
        </w:rPr>
        <w:t>民政</w:t>
      </w:r>
      <w:r>
        <w:rPr>
          <w:rFonts w:ascii="Times New Roman" w:eastAsia="仿宋_GB2312" w:hAnsi="Times New Roman" w:hint="eastAsia"/>
          <w:sz w:val="32"/>
          <w:szCs w:val="32"/>
          <w:lang w:val="en-US" w:eastAsia="zh-CN"/>
        </w:rPr>
        <w:t>局</w:t>
      </w:r>
      <w:r>
        <w:rPr>
          <w:rFonts w:ascii="Times New Roman" w:eastAsia="仿宋_GB2312" w:hAnsi="Times New Roman" w:hint="default"/>
          <w:sz w:val="32"/>
          <w:szCs w:val="32"/>
        </w:rPr>
        <w:t>依法办理名称</w:t>
      </w:r>
      <w:r>
        <w:rPr>
          <w:rFonts w:ascii="Times New Roman" w:eastAsia="仿宋_GB2312" w:hAnsi="Times New Roman" w:hint="eastAsia"/>
          <w:sz w:val="32"/>
          <w:szCs w:val="32"/>
        </w:rPr>
        <w:t>审核</w:t>
      </w:r>
      <w:r>
        <w:rPr>
          <w:rFonts w:ascii="Times New Roman" w:eastAsia="仿宋_GB2312" w:hAnsi="Times New Roman" w:hint="default"/>
          <w:sz w:val="32"/>
          <w:szCs w:val="32"/>
        </w:rPr>
        <w:t>。其中，营利性培训机构的登记机关为</w:t>
      </w:r>
      <w:r>
        <w:rPr>
          <w:rFonts w:ascii="Times New Roman" w:eastAsia="仿宋_GB2312" w:hAnsi="Times New Roman" w:hint="eastAsia"/>
          <w:sz w:val="32"/>
          <w:szCs w:val="32"/>
          <w:lang w:eastAsia="zh-CN"/>
        </w:rPr>
        <w:t>区</w:t>
      </w:r>
      <w:r>
        <w:rPr>
          <w:rFonts w:ascii="Times New Roman" w:eastAsia="仿宋_GB2312" w:hAnsi="Times New Roman" w:hint="default"/>
          <w:sz w:val="32"/>
          <w:szCs w:val="32"/>
        </w:rPr>
        <w:t>市场</w:t>
      </w:r>
      <w:r>
        <w:rPr>
          <w:rFonts w:ascii="Times New Roman" w:eastAsia="仿宋_GB2312" w:hAnsi="Times New Roman" w:hint="eastAsia"/>
          <w:sz w:val="32"/>
          <w:szCs w:val="32"/>
          <w:lang w:eastAsia="zh-CN"/>
        </w:rPr>
        <w:t>监督和管理局</w:t>
      </w:r>
      <w:r>
        <w:rPr>
          <w:rFonts w:ascii="Times New Roman" w:eastAsia="仿宋_GB2312" w:hAnsi="Times New Roman" w:hint="default"/>
          <w:sz w:val="32"/>
          <w:szCs w:val="32"/>
        </w:rPr>
        <w:t>，非营利性培训机构的登记机关为</w:t>
      </w:r>
      <w:r>
        <w:rPr>
          <w:rFonts w:ascii="Times New Roman" w:eastAsia="仿宋_GB2312" w:hAnsi="Times New Roman" w:hint="eastAsia"/>
          <w:sz w:val="32"/>
          <w:szCs w:val="32"/>
          <w:lang w:eastAsia="zh-CN"/>
        </w:rPr>
        <w:t>民政局</w:t>
      </w:r>
      <w:r>
        <w:rPr>
          <w:rFonts w:ascii="Times New Roman" w:eastAsia="仿宋_GB2312" w:hAnsi="Times New Roman" w:hint="default"/>
          <w:sz w:val="32"/>
          <w:szCs w:val="32"/>
        </w:rPr>
        <w:t>。</w:t>
      </w:r>
    </w:p>
    <w:p>
      <w:pPr>
        <w:pStyle w:val="style0"/>
        <w:keepNext w:val="false"/>
        <w:keepLines w:val="false"/>
        <w:pageBreakBefore w:val="false"/>
        <w:kinsoku/>
        <w:wordWrap/>
        <w:overflowPunct/>
        <w:topLinePunct w:val="false"/>
        <w:autoSpaceDE/>
        <w:autoSpaceDN/>
        <w:adjustRightInd/>
        <w:snapToGrid/>
        <w:spacing w:lineRule="exact" w:line="560"/>
        <w:ind w:firstLine="640" w:firstLineChars="200"/>
        <w:textAlignment w:val="auto"/>
        <w:rPr>
          <w:rFonts w:ascii="Times New Roman" w:eastAsia="仿宋_GB2312" w:hAnsi="Times New Roman" w:hint="default"/>
          <w:sz w:val="32"/>
          <w:szCs w:val="32"/>
        </w:rPr>
      </w:pPr>
      <w:r>
        <w:rPr>
          <w:rFonts w:ascii="Times New Roman" w:eastAsia="仿宋_GB2312" w:hAnsi="Times New Roman" w:hint="default"/>
          <w:sz w:val="32"/>
          <w:szCs w:val="32"/>
        </w:rPr>
        <w:t>已经登记设立，持有营业执照或民办非企业单位登记证书的培训机构，名称符合设置标准相关规定的，可沿用现有名称。</w:t>
      </w:r>
    </w:p>
    <w:p>
      <w:pPr>
        <w:pStyle w:val="style0"/>
        <w:keepNext w:val="false"/>
        <w:keepLines w:val="false"/>
        <w:pageBreakBefore w:val="false"/>
        <w:kinsoku/>
        <w:wordWrap/>
        <w:overflowPunct/>
        <w:topLinePunct w:val="false"/>
        <w:autoSpaceDE/>
        <w:autoSpaceDN/>
        <w:adjustRightInd/>
        <w:snapToGrid/>
        <w:spacing w:lineRule="exact" w:line="560"/>
        <w:ind w:firstLine="640" w:firstLineChars="200"/>
        <w:textAlignment w:val="auto"/>
        <w:rPr>
          <w:rFonts w:hint="default"/>
          <w:color w:val="auto"/>
        </w:rPr>
      </w:pPr>
      <w:r>
        <w:rPr>
          <w:rFonts w:ascii="Times New Roman" w:eastAsia="楷体_GB2312" w:hAnsi="Times New Roman" w:hint="default"/>
          <w:sz w:val="32"/>
          <w:szCs w:val="32"/>
        </w:rPr>
        <w:t>（二</w:t>
      </w:r>
      <w:r>
        <w:rPr>
          <w:rFonts w:ascii="Times New Roman" w:eastAsia="楷体_GB2312" w:hAnsi="Times New Roman" w:hint="default"/>
          <w:color w:val="auto"/>
          <w:sz w:val="32"/>
          <w:szCs w:val="32"/>
        </w:rPr>
        <w:t>）</w:t>
      </w:r>
      <w:r>
        <w:rPr>
          <w:rFonts w:ascii="Times New Roman" w:eastAsia="楷体_GB2312" w:hAnsi="Times New Roman" w:hint="eastAsia"/>
          <w:color w:val="auto"/>
          <w:sz w:val="32"/>
          <w:szCs w:val="32"/>
          <w:lang w:val="en-US" w:eastAsia="zh-CN"/>
        </w:rPr>
        <w:t>设立</w:t>
      </w:r>
      <w:r>
        <w:rPr>
          <w:rFonts w:ascii="Times New Roman" w:eastAsia="楷体_GB2312" w:hAnsi="Times New Roman" w:hint="default"/>
          <w:color w:val="auto"/>
          <w:sz w:val="32"/>
          <w:szCs w:val="32"/>
        </w:rPr>
        <w:t>申请</w:t>
      </w:r>
    </w:p>
    <w:p>
      <w:pPr>
        <w:pStyle w:val="style0"/>
        <w:keepNext w:val="false"/>
        <w:keepLines w:val="false"/>
        <w:pageBreakBefore w:val="false"/>
        <w:wordWrap/>
        <w:overflowPunct/>
        <w:topLinePunct w:val="false"/>
        <w:bidi w:val="false"/>
        <w:spacing w:lineRule="exact" w:line="560"/>
        <w:ind w:firstLine="640" w:firstLineChars="200"/>
        <w:rPr>
          <w:rFonts w:ascii="Times New Roman" w:eastAsia="仿宋_GB2312" w:hAnsi="Times New Roman" w:hint="eastAsia"/>
          <w:color w:val="auto"/>
          <w:sz w:val="32"/>
          <w:szCs w:val="32"/>
          <w:lang w:eastAsia="zh-CN"/>
        </w:rPr>
      </w:pPr>
      <w:r>
        <w:rPr>
          <w:rFonts w:ascii="Times New Roman" w:eastAsia="仿宋_GB2312" w:hAnsi="Times New Roman" w:hint="default"/>
          <w:color w:val="auto"/>
          <w:sz w:val="32"/>
          <w:szCs w:val="32"/>
        </w:rPr>
        <w:t>已办理名称自主申报或名称</w:t>
      </w:r>
      <w:r>
        <w:rPr>
          <w:rFonts w:ascii="Times New Roman" w:eastAsia="仿宋_GB2312" w:hAnsi="Times New Roman" w:hint="eastAsia"/>
          <w:color w:val="auto"/>
          <w:sz w:val="32"/>
          <w:szCs w:val="32"/>
        </w:rPr>
        <w:t>审核</w:t>
      </w:r>
      <w:r>
        <w:rPr>
          <w:rFonts w:ascii="Times New Roman" w:eastAsia="仿宋_GB2312" w:hAnsi="Times New Roman" w:hint="default"/>
          <w:color w:val="auto"/>
          <w:sz w:val="32"/>
          <w:szCs w:val="32"/>
        </w:rPr>
        <w:t>的举办者，申请设立培训机构的，应当向</w:t>
      </w:r>
      <w:r>
        <w:rPr>
          <w:rFonts w:ascii="仿宋_GB2312" w:cs="仿宋_GB2312" w:eastAsia="仿宋_GB2312" w:hAnsi="仿宋_GB2312" w:hint="eastAsia"/>
          <w:color w:val="auto"/>
          <w:sz w:val="32"/>
          <w:szCs w:val="32"/>
        </w:rPr>
        <w:t>区经济贸易和科技局</w:t>
      </w:r>
      <w:r>
        <w:rPr>
          <w:rFonts w:ascii="仿宋_GB2312" w:cs="仿宋_GB2312" w:eastAsia="仿宋_GB2312" w:hAnsi="仿宋_GB2312" w:hint="eastAsia"/>
          <w:color w:val="auto"/>
          <w:sz w:val="32"/>
          <w:szCs w:val="32"/>
          <w:lang w:eastAsia="zh-CN"/>
        </w:rPr>
        <w:t>（</w:t>
      </w:r>
      <w:r>
        <w:rPr>
          <w:rFonts w:ascii="仿宋_GB2312" w:cs="仿宋_GB2312" w:eastAsia="仿宋_GB2312" w:hAnsi="仿宋_GB2312" w:hint="eastAsia"/>
          <w:color w:val="auto"/>
          <w:sz w:val="32"/>
          <w:szCs w:val="32"/>
          <w:lang w:val="en-US" w:eastAsia="zh-CN"/>
        </w:rPr>
        <w:t>科技</w:t>
      </w:r>
      <w:r>
        <w:rPr>
          <w:rFonts w:ascii="仿宋_GB2312" w:cs="仿宋_GB2312" w:eastAsia="仿宋_GB2312" w:hAnsi="仿宋_GB2312" w:hint="eastAsia"/>
          <w:color w:val="auto"/>
          <w:sz w:val="32"/>
          <w:szCs w:val="32"/>
          <w:lang w:eastAsia="zh-CN"/>
        </w:rPr>
        <w:t>）</w:t>
      </w:r>
      <w:r>
        <w:rPr>
          <w:rFonts w:ascii="仿宋_GB2312" w:cs="仿宋_GB2312" w:eastAsia="仿宋_GB2312" w:hAnsi="仿宋_GB2312" w:hint="eastAsia"/>
          <w:color w:val="auto"/>
          <w:sz w:val="32"/>
          <w:szCs w:val="32"/>
        </w:rPr>
        <w:t>、区旅游局</w:t>
      </w:r>
      <w:r>
        <w:rPr>
          <w:rFonts w:ascii="仿宋_GB2312" w:cs="仿宋_GB2312" w:eastAsia="仿宋_GB2312" w:hAnsi="仿宋_GB2312" w:hint="eastAsia"/>
          <w:color w:val="auto"/>
          <w:sz w:val="32"/>
          <w:szCs w:val="32"/>
          <w:lang w:eastAsia="zh-CN"/>
        </w:rPr>
        <w:t>（</w:t>
      </w:r>
      <w:r>
        <w:rPr>
          <w:rFonts w:ascii="仿宋_GB2312" w:cs="仿宋_GB2312" w:eastAsia="仿宋_GB2312" w:hAnsi="仿宋_GB2312" w:hint="eastAsia"/>
          <w:color w:val="auto"/>
          <w:sz w:val="32"/>
          <w:szCs w:val="32"/>
          <w:lang w:val="en-US" w:eastAsia="zh-CN"/>
        </w:rPr>
        <w:t>文化艺术、体育</w:t>
      </w:r>
      <w:r>
        <w:rPr>
          <w:rFonts w:ascii="仿宋_GB2312" w:cs="仿宋_GB2312" w:eastAsia="仿宋_GB2312" w:hAnsi="仿宋_GB2312" w:hint="eastAsia"/>
          <w:color w:val="auto"/>
          <w:sz w:val="32"/>
          <w:szCs w:val="32"/>
          <w:lang w:eastAsia="zh-CN"/>
        </w:rPr>
        <w:t>）</w:t>
      </w:r>
      <w:r>
        <w:rPr>
          <w:rFonts w:ascii="Times New Roman" w:eastAsia="仿宋_GB2312" w:hAnsi="Times New Roman" w:hint="eastAsia"/>
          <w:color w:val="auto"/>
          <w:sz w:val="32"/>
          <w:szCs w:val="32"/>
          <w:lang w:val="en-US" w:eastAsia="zh-CN"/>
        </w:rPr>
        <w:t>提出申请</w:t>
      </w:r>
      <w:r>
        <w:rPr>
          <w:rFonts w:ascii="Times New Roman" w:eastAsia="仿宋_GB2312" w:hAnsi="Times New Roman" w:hint="eastAsia"/>
          <w:color w:val="auto"/>
          <w:sz w:val="32"/>
          <w:szCs w:val="32"/>
          <w:lang w:eastAsia="zh-CN"/>
        </w:rPr>
        <w:t>，按照办证指引向区经济贸易和科技局（科技）、区旅游局（文化艺术、体育）提交材料。</w:t>
      </w:r>
    </w:p>
    <w:p>
      <w:pPr>
        <w:pStyle w:val="style0"/>
        <w:keepNext w:val="false"/>
        <w:keepLines w:val="false"/>
        <w:pageBreakBefore w:val="false"/>
        <w:kinsoku/>
        <w:wordWrap/>
        <w:overflowPunct/>
        <w:topLinePunct w:val="false"/>
        <w:autoSpaceDE/>
        <w:autoSpaceDN/>
        <w:adjustRightInd/>
        <w:snapToGrid/>
        <w:spacing w:lineRule="exact" w:line="560"/>
        <w:ind w:firstLine="640" w:firstLineChars="200"/>
        <w:textAlignment w:val="auto"/>
        <w:rPr>
          <w:rFonts w:ascii="Times New Roman" w:eastAsia="楷体_GB2312" w:hAnsi="Times New Roman" w:hint="default"/>
          <w:color w:val="auto"/>
          <w:sz w:val="32"/>
          <w:szCs w:val="32"/>
        </w:rPr>
      </w:pPr>
      <w:r>
        <w:rPr>
          <w:rFonts w:ascii="Times New Roman" w:eastAsia="楷体_GB2312" w:hAnsi="Times New Roman" w:hint="default"/>
          <w:color w:val="auto"/>
          <w:sz w:val="32"/>
          <w:szCs w:val="32"/>
        </w:rPr>
        <w:t>（</w:t>
      </w:r>
      <w:r>
        <w:rPr>
          <w:rFonts w:ascii="Times New Roman" w:eastAsia="楷体_GB2312" w:hAnsi="Times New Roman" w:hint="eastAsia"/>
          <w:color w:val="auto"/>
          <w:sz w:val="32"/>
          <w:szCs w:val="32"/>
          <w:lang w:val="en-US" w:eastAsia="zh-CN"/>
        </w:rPr>
        <w:t>三</w:t>
      </w:r>
      <w:r>
        <w:rPr>
          <w:rFonts w:ascii="Times New Roman" w:eastAsia="楷体_GB2312" w:hAnsi="Times New Roman" w:hint="default"/>
          <w:color w:val="auto"/>
          <w:sz w:val="32"/>
          <w:szCs w:val="32"/>
        </w:rPr>
        <w:t>）受理</w:t>
      </w:r>
    </w:p>
    <w:p>
      <w:pPr>
        <w:pStyle w:val="style0"/>
        <w:keepNext w:val="false"/>
        <w:keepLines w:val="false"/>
        <w:pageBreakBefore w:val="false"/>
        <w:kinsoku/>
        <w:wordWrap/>
        <w:overflowPunct/>
        <w:topLinePunct w:val="false"/>
        <w:autoSpaceDE/>
        <w:autoSpaceDN/>
        <w:adjustRightInd/>
        <w:snapToGrid/>
        <w:spacing w:lineRule="exact" w:line="560"/>
        <w:ind w:firstLine="640"/>
        <w:textAlignment w:val="auto"/>
        <w:rPr>
          <w:rFonts w:ascii="Times New Roman" w:eastAsia="仿宋_GB2312" w:hAnsi="Times New Roman" w:hint="default"/>
          <w:color w:val="auto"/>
          <w:sz w:val="32"/>
          <w:szCs w:val="32"/>
        </w:rPr>
      </w:pPr>
      <w:r>
        <w:rPr>
          <w:rFonts w:ascii="Times New Roman" w:eastAsia="仿宋_GB2312" w:hAnsi="Times New Roman" w:hint="default"/>
          <w:color w:val="auto"/>
          <w:sz w:val="32"/>
          <w:szCs w:val="32"/>
        </w:rPr>
        <w:t>举办者按照要求提交申请材料。申请材料齐全、符合</w:t>
      </w:r>
      <w:r>
        <w:rPr>
          <w:rFonts w:ascii="Times New Roman" w:eastAsia="仿宋_GB2312" w:hAnsi="Times New Roman" w:hint="eastAsia"/>
          <w:color w:val="auto"/>
          <w:sz w:val="32"/>
          <w:szCs w:val="32"/>
        </w:rPr>
        <w:t>法</w:t>
      </w:r>
      <w:r>
        <w:rPr>
          <w:rFonts w:ascii="Times New Roman" w:eastAsia="仿宋_GB2312" w:hAnsi="Times New Roman" w:hint="default"/>
          <w:color w:val="auto"/>
          <w:sz w:val="32"/>
          <w:szCs w:val="32"/>
        </w:rPr>
        <w:t>定形式的，</w:t>
      </w:r>
      <w:r>
        <w:rPr>
          <w:rFonts w:ascii="Times New Roman" w:eastAsia="仿宋_GB2312" w:hAnsi="Times New Roman" w:hint="eastAsia"/>
          <w:color w:val="auto"/>
          <w:sz w:val="32"/>
          <w:szCs w:val="32"/>
          <w:lang w:eastAsia="zh-CN"/>
        </w:rPr>
        <w:t>区经济贸易和科技局（科技）、区旅游局（文化艺术、体育）</w:t>
      </w:r>
      <w:r>
        <w:rPr>
          <w:rFonts w:ascii="Times New Roman" w:eastAsia="仿宋_GB2312" w:hAnsi="Times New Roman" w:hint="default"/>
          <w:color w:val="auto"/>
          <w:sz w:val="32"/>
          <w:szCs w:val="32"/>
        </w:rPr>
        <w:t>应依法在收到申请材料之日起的5个工作日内作出受理决定，并出具书面回执。</w:t>
      </w:r>
    </w:p>
    <w:p>
      <w:pPr>
        <w:pStyle w:val="style0"/>
        <w:keepNext w:val="false"/>
        <w:keepLines w:val="false"/>
        <w:pageBreakBefore w:val="false"/>
        <w:kinsoku/>
        <w:wordWrap/>
        <w:overflowPunct/>
        <w:topLinePunct w:val="false"/>
        <w:autoSpaceDE/>
        <w:autoSpaceDN/>
        <w:adjustRightInd/>
        <w:snapToGrid/>
        <w:spacing w:lineRule="exact" w:line="560"/>
        <w:ind w:firstLine="640"/>
        <w:textAlignment w:val="auto"/>
        <w:rPr>
          <w:rFonts w:ascii="Times New Roman" w:eastAsia="仿宋_GB2312" w:hAnsi="Times New Roman" w:hint="default"/>
          <w:color w:val="auto"/>
          <w:sz w:val="32"/>
          <w:szCs w:val="32"/>
        </w:rPr>
      </w:pPr>
      <w:r>
        <w:rPr>
          <w:rFonts w:ascii="Times New Roman" w:eastAsia="仿宋_GB2312" w:hAnsi="Times New Roman" w:hint="default"/>
          <w:color w:val="auto"/>
          <w:sz w:val="32"/>
          <w:szCs w:val="32"/>
        </w:rPr>
        <w:t>经审查，材料不全或不符合法定形式的，</w:t>
      </w:r>
      <w:r>
        <w:rPr>
          <w:rFonts w:ascii="Times New Roman" w:eastAsia="仿宋_GB2312" w:hAnsi="Times New Roman" w:hint="eastAsia"/>
          <w:color w:val="auto"/>
          <w:sz w:val="32"/>
          <w:szCs w:val="32"/>
          <w:lang w:eastAsia="zh-CN"/>
        </w:rPr>
        <w:t>区经济贸易和科技局（科技）、区旅游局（文化艺术、体育）</w:t>
      </w:r>
      <w:r>
        <w:rPr>
          <w:rFonts w:ascii="Times New Roman" w:eastAsia="仿宋_GB2312" w:hAnsi="Times New Roman" w:hint="default"/>
          <w:color w:val="auto"/>
          <w:sz w:val="32"/>
          <w:szCs w:val="32"/>
        </w:rPr>
        <w:t>在5个工作日内一次性告知申请人需补正的全部内容。举办者按照要求提交全部补正申请材料的，</w:t>
      </w:r>
      <w:r>
        <w:rPr>
          <w:rFonts w:ascii="Times New Roman" w:eastAsia="仿宋_GB2312" w:hAnsi="Times New Roman" w:hint="eastAsia"/>
          <w:color w:val="auto"/>
          <w:sz w:val="32"/>
          <w:szCs w:val="32"/>
          <w:lang w:eastAsia="zh-CN"/>
        </w:rPr>
        <w:t>区经济贸易和科技局（科技）、区旅游局（文化艺术、体育）</w:t>
      </w:r>
      <w:r>
        <w:rPr>
          <w:rFonts w:ascii="Times New Roman" w:eastAsia="仿宋_GB2312" w:hAnsi="Times New Roman" w:hint="default"/>
          <w:color w:val="auto"/>
          <w:sz w:val="32"/>
          <w:szCs w:val="32"/>
        </w:rPr>
        <w:t>应依法作出受理决定，并出具相关回执。</w:t>
      </w:r>
    </w:p>
    <w:p>
      <w:pPr>
        <w:pStyle w:val="style0"/>
        <w:keepNext w:val="false"/>
        <w:keepLines w:val="false"/>
        <w:pageBreakBefore w:val="false"/>
        <w:kinsoku/>
        <w:wordWrap/>
        <w:overflowPunct/>
        <w:topLinePunct w:val="false"/>
        <w:autoSpaceDE/>
        <w:autoSpaceDN/>
        <w:adjustRightInd/>
        <w:snapToGrid/>
        <w:spacing w:lineRule="exact" w:line="560"/>
        <w:ind w:firstLine="640" w:firstLineChars="200"/>
        <w:textAlignment w:val="auto"/>
        <w:rPr>
          <w:rFonts w:ascii="Times New Roman" w:eastAsia="楷体_GB2312" w:hAnsi="Times New Roman" w:hint="default"/>
          <w:color w:val="auto"/>
          <w:sz w:val="32"/>
          <w:szCs w:val="32"/>
        </w:rPr>
      </w:pPr>
      <w:r>
        <w:rPr>
          <w:rFonts w:ascii="Times New Roman" w:eastAsia="楷体_GB2312" w:hAnsi="Times New Roman" w:hint="default"/>
          <w:color w:val="auto"/>
          <w:sz w:val="32"/>
          <w:szCs w:val="32"/>
        </w:rPr>
        <w:t>（</w:t>
      </w:r>
      <w:r>
        <w:rPr>
          <w:rFonts w:ascii="Times New Roman" w:eastAsia="楷体_GB2312" w:hAnsi="Times New Roman" w:hint="eastAsia"/>
          <w:color w:val="auto"/>
          <w:sz w:val="32"/>
          <w:szCs w:val="32"/>
          <w:lang w:val="en-US" w:eastAsia="zh-CN"/>
        </w:rPr>
        <w:t>四</w:t>
      </w:r>
      <w:r>
        <w:rPr>
          <w:rFonts w:ascii="Times New Roman" w:eastAsia="楷体_GB2312" w:hAnsi="Times New Roman" w:hint="default"/>
          <w:color w:val="auto"/>
          <w:sz w:val="32"/>
          <w:szCs w:val="32"/>
        </w:rPr>
        <w:t>）审批</w:t>
      </w:r>
    </w:p>
    <w:p>
      <w:pPr>
        <w:pStyle w:val="style0"/>
        <w:keepNext w:val="false"/>
        <w:keepLines w:val="false"/>
        <w:pageBreakBefore w:val="false"/>
        <w:wordWrap/>
        <w:overflowPunct/>
        <w:topLinePunct w:val="false"/>
        <w:bidi w:val="false"/>
        <w:spacing w:lineRule="exact" w:line="560"/>
        <w:ind w:firstLine="640" w:firstLineChars="200"/>
        <w:rPr>
          <w:rFonts w:ascii="仿宋_GB2312" w:cs="仿宋_GB2312" w:eastAsia="仿宋_GB2312" w:hAnsi="仿宋_GB2312" w:hint="eastAsia"/>
          <w:color w:val="auto"/>
          <w:sz w:val="32"/>
          <w:szCs w:val="32"/>
        </w:rPr>
      </w:pPr>
      <w:r>
        <w:rPr>
          <w:rFonts w:ascii="Times New Roman" w:eastAsia="仿宋_GB2312" w:hAnsi="Times New Roman" w:hint="eastAsia"/>
          <w:color w:val="auto"/>
          <w:sz w:val="32"/>
          <w:szCs w:val="32"/>
          <w:lang w:eastAsia="zh-CN"/>
        </w:rPr>
        <w:t>区经济贸易和科技局（科技）、区旅游局（文化艺术、体育）</w:t>
      </w:r>
      <w:r>
        <w:rPr>
          <w:rFonts w:ascii="仿宋_GB2312" w:cs="仿宋_GB2312" w:eastAsia="仿宋_GB2312" w:hAnsi="仿宋_GB2312" w:hint="eastAsia"/>
          <w:color w:val="auto"/>
          <w:sz w:val="32"/>
          <w:szCs w:val="32"/>
        </w:rPr>
        <w:t>组织力量对申请材料和办学现场进行</w:t>
      </w:r>
      <w:r>
        <w:rPr>
          <w:rFonts w:ascii="仿宋_GB2312" w:cs="仿宋_GB2312" w:eastAsia="仿宋_GB2312" w:hAnsi="仿宋_GB2312" w:hint="eastAsia"/>
          <w:color w:val="auto"/>
          <w:sz w:val="32"/>
          <w:szCs w:val="32"/>
          <w:lang w:eastAsia="zh-CN"/>
        </w:rPr>
        <w:t>专业</w:t>
      </w:r>
      <w:r>
        <w:rPr>
          <w:rFonts w:ascii="仿宋_GB2312" w:cs="仿宋_GB2312" w:eastAsia="仿宋_GB2312" w:hAnsi="仿宋_GB2312" w:hint="eastAsia"/>
          <w:color w:val="auto"/>
          <w:sz w:val="32"/>
          <w:szCs w:val="32"/>
        </w:rPr>
        <w:t>审核。对现场审核不通过的机构，现场说明原因并限期整改重新提交审核。</w:t>
      </w:r>
      <w:r>
        <w:rPr>
          <w:rFonts w:ascii="Times New Roman" w:eastAsia="仿宋_GB2312" w:hAnsi="Times New Roman" w:hint="eastAsia"/>
          <w:color w:val="auto"/>
          <w:sz w:val="32"/>
          <w:szCs w:val="32"/>
          <w:lang w:eastAsia="zh-CN"/>
        </w:rPr>
        <w:t>区经济贸易和科技局（科技）、区旅游局（文化艺术、体育）</w:t>
      </w:r>
      <w:r>
        <w:rPr>
          <w:rFonts w:ascii="仿宋_GB2312" w:cs="仿宋_GB2312" w:eastAsia="仿宋_GB2312" w:hAnsi="仿宋_GB2312" w:hint="eastAsia"/>
          <w:color w:val="auto"/>
          <w:sz w:val="32"/>
          <w:szCs w:val="32"/>
          <w:lang w:eastAsia="zh-CN"/>
        </w:rPr>
        <w:t>应当进行专业审核并将专业审核意见书面报教育行政部门。</w:t>
      </w:r>
      <w:r>
        <w:rPr>
          <w:rFonts w:ascii="仿宋_GB2312" w:cs="仿宋_GB2312" w:eastAsia="仿宋_GB2312" w:hAnsi="仿宋_GB2312" w:hint="eastAsia"/>
          <w:color w:val="auto"/>
          <w:sz w:val="32"/>
          <w:szCs w:val="32"/>
        </w:rPr>
        <w:t>未通过科技、文化旅游、体育部门专业审核的，不予发放许可证。</w:t>
      </w:r>
    </w:p>
    <w:p>
      <w:pPr>
        <w:pStyle w:val="style0"/>
        <w:keepNext w:val="false"/>
        <w:keepLines w:val="false"/>
        <w:pageBreakBefore w:val="false"/>
        <w:kinsoku/>
        <w:wordWrap/>
        <w:overflowPunct/>
        <w:topLinePunct w:val="false"/>
        <w:autoSpaceDE/>
        <w:autoSpaceDN/>
        <w:adjustRightInd/>
        <w:snapToGrid/>
        <w:spacing w:lineRule="exact" w:line="560"/>
        <w:ind w:firstLine="640" w:firstLineChars="200"/>
        <w:textAlignment w:val="auto"/>
        <w:rPr>
          <w:rFonts w:ascii="仿宋_GB2312" w:cs="仿宋_GB2312" w:eastAsia="仿宋_GB2312" w:hAnsi="仿宋_GB2312" w:hint="eastAsia"/>
          <w:color w:val="auto"/>
          <w:sz w:val="32"/>
          <w:szCs w:val="32"/>
        </w:rPr>
      </w:pPr>
      <w:r>
        <w:rPr>
          <w:rFonts w:ascii="仿宋_GB2312" w:cs="仿宋_GB2312" w:eastAsia="仿宋_GB2312" w:hAnsi="仿宋_GB2312" w:hint="eastAsia"/>
          <w:color w:val="auto"/>
          <w:sz w:val="32"/>
          <w:szCs w:val="32"/>
        </w:rPr>
        <w:t>对于符合法定条件、标准的，</w:t>
      </w:r>
      <w:r>
        <w:rPr>
          <w:rFonts w:ascii="仿宋_GB2312" w:cs="仿宋_GB2312" w:eastAsia="仿宋_GB2312" w:hAnsi="仿宋_GB2312" w:hint="eastAsia"/>
          <w:color w:val="auto"/>
          <w:sz w:val="32"/>
          <w:szCs w:val="32"/>
          <w:lang w:eastAsia="zh-CN"/>
        </w:rPr>
        <w:t>区教育局应当依法作出准予设立的书面决定，并</w:t>
      </w:r>
      <w:r>
        <w:rPr>
          <w:rFonts w:ascii="仿宋_GB2312" w:cs="仿宋_GB2312" w:eastAsia="仿宋_GB2312" w:hAnsi="仿宋_GB2312" w:hint="eastAsia"/>
          <w:color w:val="auto"/>
          <w:sz w:val="32"/>
          <w:szCs w:val="32"/>
        </w:rPr>
        <w:t>颁发《中华人民共和国民办学校办学许可证》；对于不符合法定条件、标准的</w:t>
      </w:r>
      <w:r>
        <w:rPr>
          <w:rFonts w:ascii="仿宋_GB2312" w:cs="仿宋_GB2312" w:eastAsia="仿宋_GB2312" w:hAnsi="仿宋_GB2312" w:hint="eastAsia"/>
          <w:color w:val="auto"/>
          <w:sz w:val="32"/>
          <w:szCs w:val="32"/>
          <w:lang w:eastAsia="zh-CN"/>
        </w:rPr>
        <w:t>，</w:t>
      </w:r>
      <w:r>
        <w:rPr>
          <w:rFonts w:ascii="仿宋_GB2312" w:cs="仿宋_GB2312" w:eastAsia="仿宋_GB2312" w:hAnsi="仿宋_GB2312" w:hint="eastAsia"/>
          <w:color w:val="auto"/>
          <w:sz w:val="32"/>
          <w:szCs w:val="32"/>
          <w:lang w:eastAsia="zh-CN"/>
        </w:rPr>
        <w:t>区教育局</w:t>
      </w:r>
      <w:r>
        <w:rPr>
          <w:rFonts w:ascii="仿宋_GB2312" w:cs="仿宋_GB2312" w:eastAsia="仿宋_GB2312" w:hAnsi="仿宋_GB2312" w:hint="eastAsia"/>
          <w:color w:val="auto"/>
          <w:sz w:val="32"/>
          <w:szCs w:val="32"/>
        </w:rPr>
        <w:t xml:space="preserve">应当依法作出不予设立的书面决定，并说明理由。  </w:t>
      </w:r>
    </w:p>
    <w:p>
      <w:pPr>
        <w:pStyle w:val="style0"/>
        <w:keepNext w:val="false"/>
        <w:keepLines w:val="false"/>
        <w:pageBreakBefore w:val="false"/>
        <w:kinsoku/>
        <w:wordWrap/>
        <w:overflowPunct/>
        <w:topLinePunct w:val="false"/>
        <w:autoSpaceDE/>
        <w:autoSpaceDN/>
        <w:adjustRightInd/>
        <w:snapToGrid/>
        <w:spacing w:lineRule="exact" w:line="560"/>
        <w:ind w:firstLine="640" w:firstLineChars="200"/>
        <w:textAlignment w:val="auto"/>
        <w:rPr>
          <w:rFonts w:ascii="Times New Roman" w:eastAsia="楷体_GB2312" w:hAnsi="Times New Roman" w:hint="default"/>
          <w:color w:val="auto"/>
          <w:sz w:val="32"/>
          <w:szCs w:val="32"/>
        </w:rPr>
      </w:pPr>
      <w:r>
        <w:rPr>
          <w:rFonts w:ascii="Times New Roman" w:eastAsia="楷体_GB2312" w:hAnsi="Times New Roman" w:hint="default"/>
          <w:color w:val="auto"/>
          <w:sz w:val="32"/>
          <w:szCs w:val="32"/>
        </w:rPr>
        <w:t>（</w:t>
      </w:r>
      <w:r>
        <w:rPr>
          <w:rFonts w:ascii="Times New Roman" w:eastAsia="楷体_GB2312" w:hAnsi="Times New Roman" w:hint="eastAsia"/>
          <w:color w:val="auto"/>
          <w:sz w:val="32"/>
          <w:szCs w:val="32"/>
          <w:lang w:val="en-US" w:eastAsia="zh-CN"/>
        </w:rPr>
        <w:t>五</w:t>
      </w:r>
      <w:r>
        <w:rPr>
          <w:rFonts w:ascii="Times New Roman" w:eastAsia="楷体_GB2312" w:hAnsi="Times New Roman" w:hint="default"/>
          <w:color w:val="auto"/>
          <w:sz w:val="32"/>
          <w:szCs w:val="32"/>
        </w:rPr>
        <w:t>）公告</w:t>
      </w:r>
    </w:p>
    <w:p>
      <w:pPr>
        <w:pStyle w:val="style0"/>
        <w:keepNext w:val="false"/>
        <w:keepLines w:val="false"/>
        <w:pageBreakBefore w:val="false"/>
        <w:kinsoku/>
        <w:wordWrap/>
        <w:overflowPunct/>
        <w:topLinePunct w:val="false"/>
        <w:autoSpaceDE/>
        <w:autoSpaceDN/>
        <w:adjustRightInd/>
        <w:snapToGrid/>
        <w:spacing w:lineRule="exact" w:line="560"/>
        <w:ind w:firstLine="640" w:firstLineChars="200"/>
        <w:textAlignment w:val="auto"/>
        <w:rPr>
          <w:rFonts w:ascii="Times New Roman" w:eastAsia="仿宋_GB2312" w:hAnsi="Times New Roman" w:hint="default"/>
          <w:sz w:val="32"/>
          <w:szCs w:val="32"/>
        </w:rPr>
      </w:pPr>
      <w:r>
        <w:rPr>
          <w:rFonts w:ascii="Times New Roman" w:eastAsia="仿宋_GB2312" w:hAnsi="Times New Roman" w:hint="default"/>
          <w:color w:val="auto"/>
          <w:sz w:val="32"/>
          <w:szCs w:val="32"/>
        </w:rPr>
        <w:t>对于通过审批</w:t>
      </w:r>
      <w:r>
        <w:rPr>
          <w:rFonts w:ascii="Times New Roman" w:eastAsia="仿宋_GB2312" w:hAnsi="Times New Roman" w:hint="eastAsia"/>
          <w:color w:val="auto"/>
          <w:sz w:val="32"/>
          <w:szCs w:val="32"/>
        </w:rPr>
        <w:t>、</w:t>
      </w:r>
      <w:r>
        <w:rPr>
          <w:rFonts w:ascii="Times New Roman" w:eastAsia="仿宋_GB2312" w:hAnsi="Times New Roman" w:hint="default"/>
          <w:color w:val="auto"/>
          <w:sz w:val="32"/>
          <w:szCs w:val="32"/>
        </w:rPr>
        <w:t>准予设立的培</w:t>
      </w:r>
      <w:r>
        <w:rPr>
          <w:rFonts w:ascii="Times New Roman" w:eastAsia="仿宋_GB2312" w:hAnsi="Times New Roman" w:hint="default"/>
          <w:sz w:val="32"/>
          <w:szCs w:val="32"/>
        </w:rPr>
        <w:t>训机构，</w:t>
      </w:r>
      <w:r>
        <w:rPr>
          <w:rFonts w:ascii="Times New Roman" w:eastAsia="仿宋_GB2312" w:hAnsi="Times New Roman" w:hint="eastAsia"/>
          <w:sz w:val="32"/>
          <w:szCs w:val="32"/>
          <w:lang w:eastAsia="zh-CN"/>
        </w:rPr>
        <w:t>区教育局</w:t>
      </w:r>
      <w:r>
        <w:rPr>
          <w:rFonts w:ascii="Times New Roman" w:eastAsia="仿宋_GB2312" w:hAnsi="Times New Roman" w:hint="default"/>
          <w:sz w:val="32"/>
          <w:szCs w:val="32"/>
        </w:rPr>
        <w:t>应当予以公告，公告内容包括培训机构的属性、名称、地址、培训类别、培训形式、培训内容等信息。</w:t>
      </w:r>
    </w:p>
    <w:p>
      <w:pPr>
        <w:pStyle w:val="style0"/>
        <w:keepNext w:val="false"/>
        <w:keepLines w:val="false"/>
        <w:pageBreakBefore w:val="false"/>
        <w:kinsoku/>
        <w:wordWrap/>
        <w:overflowPunct/>
        <w:topLinePunct w:val="false"/>
        <w:autoSpaceDE/>
        <w:autoSpaceDN/>
        <w:adjustRightInd/>
        <w:snapToGrid/>
        <w:spacing w:lineRule="exact" w:line="560"/>
        <w:ind w:firstLine="640" w:firstLineChars="200"/>
        <w:jc w:val="left"/>
        <w:textAlignment w:val="auto"/>
        <w:rPr>
          <w:rFonts w:ascii="Times New Roman" w:eastAsia="楷体_GB2312" w:hAnsi="Times New Roman" w:hint="default"/>
          <w:sz w:val="32"/>
          <w:szCs w:val="32"/>
        </w:rPr>
      </w:pPr>
      <w:r>
        <w:rPr>
          <w:rFonts w:ascii="Times New Roman" w:eastAsia="楷体_GB2312" w:hAnsi="Times New Roman" w:hint="default"/>
          <w:sz w:val="32"/>
          <w:szCs w:val="32"/>
        </w:rPr>
        <w:t>（</w:t>
      </w:r>
      <w:r>
        <w:rPr>
          <w:rFonts w:ascii="Times New Roman" w:eastAsia="楷体_GB2312" w:hAnsi="Times New Roman" w:hint="eastAsia"/>
          <w:sz w:val="32"/>
          <w:szCs w:val="32"/>
          <w:lang w:val="en-US" w:eastAsia="zh-CN"/>
        </w:rPr>
        <w:t>六</w:t>
      </w:r>
      <w:r>
        <w:rPr>
          <w:rFonts w:ascii="Times New Roman" w:eastAsia="楷体_GB2312" w:hAnsi="Times New Roman" w:hint="default"/>
          <w:sz w:val="32"/>
          <w:szCs w:val="32"/>
        </w:rPr>
        <w:t>）法人登记</w:t>
      </w:r>
    </w:p>
    <w:p>
      <w:pPr>
        <w:pStyle w:val="style0"/>
        <w:keepNext w:val="false"/>
        <w:keepLines w:val="false"/>
        <w:pageBreakBefore w:val="false"/>
        <w:kinsoku/>
        <w:wordWrap/>
        <w:overflowPunct/>
        <w:topLinePunct w:val="false"/>
        <w:autoSpaceDE/>
        <w:autoSpaceDN/>
        <w:adjustRightInd/>
        <w:snapToGrid/>
        <w:spacing w:lineRule="exact" w:line="560"/>
        <w:ind w:firstLine="640" w:firstLineChars="200"/>
        <w:jc w:val="left"/>
        <w:textAlignment w:val="auto"/>
        <w:rPr>
          <w:rFonts w:ascii="Times New Roman" w:eastAsia="仿宋_GB2312" w:hAnsi="Times New Roman" w:hint="default"/>
          <w:sz w:val="32"/>
          <w:szCs w:val="32"/>
        </w:rPr>
      </w:pPr>
      <w:r>
        <w:rPr>
          <w:rFonts w:ascii="Times New Roman" w:eastAsia="仿宋_GB2312" w:hAnsi="Times New Roman" w:hint="default"/>
          <w:sz w:val="32"/>
          <w:szCs w:val="32"/>
        </w:rPr>
        <w:t>经批准设立的培训机构，在取得办学许可证后应依法进行法人登记</w:t>
      </w:r>
      <w:r>
        <w:rPr>
          <w:rFonts w:ascii="Times New Roman" w:eastAsia="仿宋_GB2312" w:hAnsi="Times New Roman" w:hint="eastAsia"/>
          <w:sz w:val="32"/>
          <w:szCs w:val="32"/>
        </w:rPr>
        <w:t>。</w:t>
      </w:r>
      <w:r>
        <w:rPr>
          <w:rFonts w:ascii="Times New Roman" w:eastAsia="仿宋_GB2312" w:hAnsi="Times New Roman" w:hint="default"/>
          <w:sz w:val="32"/>
          <w:szCs w:val="32"/>
        </w:rPr>
        <w:t>其中，营利性培训机构至</w:t>
      </w:r>
      <w:r>
        <w:rPr>
          <w:rFonts w:ascii="Times New Roman" w:eastAsia="仿宋_GB2312" w:hAnsi="Times New Roman" w:hint="eastAsia"/>
          <w:sz w:val="32"/>
          <w:szCs w:val="32"/>
          <w:lang w:eastAsia="zh-CN"/>
        </w:rPr>
        <w:t>区市场监督管理局</w:t>
      </w:r>
      <w:r>
        <w:rPr>
          <w:rFonts w:ascii="Times New Roman" w:eastAsia="仿宋_GB2312" w:hAnsi="Times New Roman" w:hint="default"/>
          <w:sz w:val="32"/>
          <w:szCs w:val="32"/>
        </w:rPr>
        <w:t>办理营业执照，非营利性培训机构至</w:t>
      </w:r>
      <w:r>
        <w:rPr>
          <w:rFonts w:ascii="Times New Roman" w:eastAsia="仿宋_GB2312" w:hAnsi="Times New Roman" w:hint="eastAsia"/>
          <w:sz w:val="32"/>
          <w:szCs w:val="32"/>
          <w:lang w:eastAsia="zh-CN"/>
        </w:rPr>
        <w:t>民政</w:t>
      </w:r>
      <w:r>
        <w:rPr>
          <w:rFonts w:ascii="Times New Roman" w:eastAsia="仿宋_GB2312" w:hAnsi="Times New Roman" w:hint="eastAsia"/>
          <w:sz w:val="32"/>
          <w:szCs w:val="32"/>
          <w:lang w:val="en-US" w:eastAsia="zh-CN"/>
        </w:rPr>
        <w:t>局</w:t>
      </w:r>
      <w:r>
        <w:rPr>
          <w:rFonts w:ascii="Times New Roman" w:eastAsia="仿宋_GB2312" w:hAnsi="Times New Roman" w:hint="default"/>
          <w:sz w:val="32"/>
          <w:szCs w:val="32"/>
        </w:rPr>
        <w:t>办理民办非企业单位登记证书。</w:t>
      </w:r>
    </w:p>
    <w:p>
      <w:pPr>
        <w:pStyle w:val="style0"/>
        <w:keepNext w:val="false"/>
        <w:keepLines w:val="false"/>
        <w:pageBreakBefore w:val="false"/>
        <w:kinsoku/>
        <w:wordWrap/>
        <w:overflowPunct/>
        <w:topLinePunct w:val="false"/>
        <w:autoSpaceDE/>
        <w:autoSpaceDN/>
        <w:adjustRightInd/>
        <w:snapToGrid/>
        <w:spacing w:lineRule="exact" w:line="560"/>
        <w:ind w:firstLine="640" w:firstLineChars="200"/>
        <w:jc w:val="left"/>
        <w:textAlignment w:val="auto"/>
        <w:rPr>
          <w:rFonts w:eastAsia="仿宋_GB2312" w:hint="eastAsia"/>
          <w:lang w:eastAsia="zh-CN"/>
        </w:rPr>
      </w:pPr>
      <w:r>
        <w:rPr>
          <w:rFonts w:ascii="Times New Roman" w:eastAsia="仿宋_GB2312" w:hAnsi="Times New Roman" w:hint="default"/>
          <w:b w:val="false"/>
          <w:sz w:val="32"/>
          <w:szCs w:val="32"/>
        </w:rPr>
        <w:t>申请办学许可证前已经登记设立，持有营业执照或民办非企业单位登记证书的培训机构，应当依法向</w:t>
      </w:r>
      <w:r>
        <w:rPr>
          <w:rFonts w:ascii="仿宋_GB2312" w:cs="仿宋_GB2312" w:eastAsia="仿宋_GB2312" w:hAnsi="仿宋_GB2312" w:hint="eastAsia"/>
          <w:sz w:val="32"/>
          <w:szCs w:val="32"/>
        </w:rPr>
        <w:t>区经济贸易和科技局</w:t>
      </w:r>
      <w:r>
        <w:rPr>
          <w:rFonts w:ascii="仿宋_GB2312" w:cs="仿宋_GB2312" w:eastAsia="仿宋_GB2312" w:hAnsi="仿宋_GB2312" w:hint="eastAsia"/>
          <w:sz w:val="32"/>
          <w:szCs w:val="32"/>
          <w:lang w:eastAsia="zh-CN"/>
        </w:rPr>
        <w:t>（</w:t>
      </w:r>
      <w:r>
        <w:rPr>
          <w:rFonts w:ascii="仿宋_GB2312" w:cs="仿宋_GB2312" w:eastAsia="仿宋_GB2312" w:hAnsi="仿宋_GB2312" w:hint="eastAsia"/>
          <w:sz w:val="32"/>
          <w:szCs w:val="32"/>
          <w:lang w:val="en-US" w:eastAsia="zh-CN"/>
        </w:rPr>
        <w:t>科技</w:t>
      </w:r>
      <w:r>
        <w:rPr>
          <w:rFonts w:ascii="仿宋_GB2312" w:cs="仿宋_GB2312" w:eastAsia="仿宋_GB2312" w:hAnsi="仿宋_GB2312" w:hint="eastAsia"/>
          <w:sz w:val="32"/>
          <w:szCs w:val="32"/>
          <w:lang w:eastAsia="zh-CN"/>
        </w:rPr>
        <w:t>）</w:t>
      </w:r>
      <w:r>
        <w:rPr>
          <w:rFonts w:ascii="仿宋_GB2312" w:cs="仿宋_GB2312" w:eastAsia="仿宋_GB2312" w:hAnsi="仿宋_GB2312" w:hint="eastAsia"/>
          <w:sz w:val="32"/>
          <w:szCs w:val="32"/>
        </w:rPr>
        <w:t>、区旅游局</w:t>
      </w:r>
      <w:r>
        <w:rPr>
          <w:rFonts w:ascii="仿宋_GB2312" w:cs="仿宋_GB2312" w:eastAsia="仿宋_GB2312" w:hAnsi="仿宋_GB2312" w:hint="eastAsia"/>
          <w:sz w:val="32"/>
          <w:szCs w:val="32"/>
          <w:lang w:eastAsia="zh-CN"/>
        </w:rPr>
        <w:t>（</w:t>
      </w:r>
      <w:r>
        <w:rPr>
          <w:rFonts w:ascii="仿宋_GB2312" w:cs="仿宋_GB2312" w:eastAsia="仿宋_GB2312" w:hAnsi="仿宋_GB2312" w:hint="eastAsia"/>
          <w:sz w:val="32"/>
          <w:szCs w:val="32"/>
          <w:lang w:val="en-US" w:eastAsia="zh-CN"/>
        </w:rPr>
        <w:t>文化艺术、体</w:t>
      </w:r>
      <w:r>
        <w:rPr>
          <w:rFonts w:ascii="仿宋_GB2312" w:cs="仿宋_GB2312" w:eastAsia="仿宋_GB2312" w:hAnsi="仿宋_GB2312" w:hint="eastAsia"/>
          <w:color w:val="auto"/>
          <w:sz w:val="32"/>
          <w:szCs w:val="32"/>
          <w:lang w:val="en-US" w:eastAsia="zh-CN"/>
        </w:rPr>
        <w:t>育</w:t>
      </w:r>
      <w:r>
        <w:rPr>
          <w:rFonts w:ascii="仿宋_GB2312" w:cs="仿宋_GB2312" w:eastAsia="仿宋_GB2312" w:hAnsi="仿宋_GB2312" w:hint="eastAsia"/>
          <w:color w:val="auto"/>
          <w:sz w:val="32"/>
          <w:szCs w:val="32"/>
          <w:lang w:eastAsia="zh-CN"/>
        </w:rPr>
        <w:t>）</w:t>
      </w:r>
      <w:r>
        <w:rPr>
          <w:rFonts w:ascii="Times New Roman" w:eastAsia="仿宋_GB2312" w:hAnsi="Times New Roman" w:hint="eastAsia"/>
          <w:b w:val="false"/>
          <w:color w:val="auto"/>
          <w:sz w:val="32"/>
          <w:szCs w:val="32"/>
          <w:lang w:val="en-US" w:eastAsia="zh-CN"/>
        </w:rPr>
        <w:t>提交申请材料</w:t>
      </w:r>
      <w:r>
        <w:rPr>
          <w:rFonts w:ascii="Times New Roman" w:eastAsia="仿宋_GB2312" w:hAnsi="Times New Roman" w:hint="eastAsia"/>
          <w:b w:val="false"/>
          <w:color w:val="auto"/>
          <w:sz w:val="32"/>
          <w:szCs w:val="32"/>
          <w:lang w:val="en-US" w:eastAsia="zh-CN"/>
        </w:rPr>
        <w:t>，</w:t>
      </w:r>
      <w:r>
        <w:rPr>
          <w:rFonts w:ascii="仿宋_GB2312" w:cs="仿宋_GB2312" w:eastAsia="仿宋_GB2312" w:hAnsi="仿宋_GB2312" w:hint="eastAsia"/>
          <w:color w:val="auto"/>
          <w:sz w:val="32"/>
          <w:szCs w:val="32"/>
          <w:lang w:val="en-US" w:eastAsia="zh-CN"/>
        </w:rPr>
        <w:t>取得区经济贸易和科技局（科技）、区旅游局（文化艺术、体育）</w:t>
      </w:r>
      <w:r>
        <w:rPr>
          <w:rFonts w:ascii="仿宋_GB2312" w:cs="仿宋_GB2312" w:eastAsia="仿宋_GB2312" w:hAnsi="仿宋_GB2312" w:hint="eastAsia"/>
          <w:color w:val="auto"/>
          <w:sz w:val="32"/>
          <w:szCs w:val="32"/>
        </w:rPr>
        <w:t>专业审核意见</w:t>
      </w:r>
      <w:r>
        <w:rPr>
          <w:rFonts w:ascii="仿宋_GB2312" w:cs="仿宋_GB2312" w:eastAsia="仿宋_GB2312" w:hAnsi="仿宋_GB2312" w:hint="eastAsia"/>
          <w:color w:val="auto"/>
          <w:sz w:val="32"/>
          <w:szCs w:val="32"/>
          <w:lang w:val="en-US" w:eastAsia="zh-CN"/>
        </w:rPr>
        <w:t>后</w:t>
      </w:r>
      <w:r>
        <w:rPr>
          <w:rFonts w:ascii="Times New Roman" w:eastAsia="仿宋_GB2312" w:hAnsi="Times New Roman" w:hint="eastAsia"/>
          <w:b w:val="false"/>
          <w:color w:val="auto"/>
          <w:sz w:val="32"/>
          <w:szCs w:val="32"/>
          <w:lang w:val="en-US" w:eastAsia="zh-CN"/>
        </w:rPr>
        <w:t>向</w:t>
      </w:r>
      <w:r>
        <w:rPr>
          <w:rFonts w:ascii="Times New Roman" w:eastAsia="仿宋_GB2312" w:hAnsi="Times New Roman" w:hint="eastAsia"/>
          <w:b w:val="false"/>
          <w:color w:val="auto"/>
          <w:sz w:val="32"/>
          <w:szCs w:val="32"/>
          <w:lang w:eastAsia="zh-CN"/>
        </w:rPr>
        <w:t>区教育局</w:t>
      </w:r>
      <w:r>
        <w:rPr>
          <w:rFonts w:ascii="Times New Roman" w:eastAsia="仿宋_GB2312" w:hAnsi="Times New Roman" w:hint="default"/>
          <w:b w:val="false"/>
          <w:color w:val="auto"/>
          <w:sz w:val="32"/>
          <w:szCs w:val="32"/>
        </w:rPr>
        <w:t>申请办学许可</w:t>
      </w:r>
      <w:r>
        <w:rPr>
          <w:rFonts w:ascii="Times New Roman" w:eastAsia="仿宋_GB2312" w:hAnsi="Times New Roman" w:hint="default"/>
          <w:b w:val="false"/>
          <w:sz w:val="32"/>
          <w:szCs w:val="32"/>
        </w:rPr>
        <w:t>。涉及登记事项变更的，依法依规办理相关手续。继续在原办学场所办学，但要改变登记属性的（营利性转非营利性或非营利性转营利性），应将原法人注销登记。新法人成立登记和原法人注销登记可同时进行。</w:t>
      </w:r>
    </w:p>
    <w:p>
      <w:pPr>
        <w:pStyle w:val="style0"/>
        <w:keepNext w:val="false"/>
        <w:keepLines w:val="false"/>
        <w:pageBreakBefore w:val="false"/>
        <w:kinsoku/>
        <w:wordWrap/>
        <w:overflowPunct/>
        <w:topLinePunct w:val="false"/>
        <w:autoSpaceDE/>
        <w:autoSpaceDN/>
        <w:adjustRightInd/>
        <w:snapToGrid/>
        <w:spacing w:before="120" w:beforeLines="50" w:after="120" w:afterLines="50" w:lineRule="exact" w:line="560"/>
        <w:ind w:firstLine="640" w:firstLineChars="200"/>
        <w:textAlignment w:val="auto"/>
        <w:rPr>
          <w:rFonts w:ascii="黑体" w:cs="黑体" w:eastAsia="黑体" w:hAnsi="黑体" w:hint="eastAsia"/>
          <w:b w:val="false"/>
          <w:bCs/>
          <w:sz w:val="32"/>
          <w:szCs w:val="32"/>
          <w:lang w:eastAsia="zh-CN"/>
        </w:rPr>
      </w:pPr>
      <w:r>
        <w:rPr>
          <w:rFonts w:ascii="黑体" w:cs="黑体" w:eastAsia="黑体" w:hAnsi="黑体" w:hint="eastAsia"/>
          <w:b w:val="false"/>
          <w:bCs/>
          <w:sz w:val="32"/>
          <w:szCs w:val="32"/>
          <w:lang w:eastAsia="zh-CN"/>
        </w:rPr>
        <w:t>七、办理方式</w:t>
      </w:r>
    </w:p>
    <w:p>
      <w:pPr>
        <w:pStyle w:val="style0"/>
        <w:keepNext w:val="false"/>
        <w:keepLines w:val="false"/>
        <w:pageBreakBefore w:val="false"/>
        <w:kinsoku/>
        <w:wordWrap/>
        <w:overflowPunct/>
        <w:topLinePunct w:val="false"/>
        <w:autoSpaceDE/>
        <w:autoSpaceDN/>
        <w:adjustRightInd/>
        <w:snapToGrid/>
        <w:spacing w:lineRule="exact" w:line="560"/>
        <w:ind w:firstLine="640" w:firstLineChars="200"/>
        <w:jc w:val="left"/>
        <w:textAlignment w:val="auto"/>
        <w:rPr>
          <w:rFonts w:ascii="Times New Roman" w:eastAsia="仿宋_GB2312" w:hAnsi="Times New Roman" w:hint="eastAsia"/>
          <w:b w:val="false"/>
          <w:sz w:val="32"/>
          <w:szCs w:val="32"/>
          <w:lang w:eastAsia="zh-CN"/>
        </w:rPr>
      </w:pPr>
      <w:r>
        <w:rPr>
          <w:rFonts w:ascii="Times New Roman" w:eastAsia="仿宋_GB2312" w:hAnsi="Times New Roman" w:hint="eastAsia"/>
          <w:b w:val="false"/>
          <w:sz w:val="32"/>
          <w:szCs w:val="32"/>
          <w:lang w:eastAsia="zh-CN"/>
        </w:rPr>
        <w:t>本事项申请方式</w:t>
      </w:r>
      <w:r>
        <w:rPr>
          <w:rFonts w:ascii="Times New Roman" w:eastAsia="仿宋_GB2312" w:hAnsi="Times New Roman" w:hint="eastAsia"/>
          <w:b w:val="false"/>
          <w:sz w:val="32"/>
          <w:szCs w:val="32"/>
          <w:lang w:val="en-US" w:eastAsia="zh-CN"/>
        </w:rPr>
        <w:t>为</w:t>
      </w:r>
      <w:r>
        <w:rPr>
          <w:rFonts w:ascii="Times New Roman" w:eastAsia="仿宋_GB2312" w:hAnsi="Times New Roman" w:hint="eastAsia"/>
          <w:b w:val="false"/>
          <w:sz w:val="32"/>
          <w:szCs w:val="32"/>
          <w:lang w:eastAsia="zh-CN"/>
        </w:rPr>
        <w:t>窗口办理。办理流程图如图</w:t>
      </w:r>
      <w:r>
        <w:rPr>
          <w:rFonts w:ascii="Times New Roman" w:eastAsia="仿宋_GB2312" w:hAnsi="Times New Roman" w:hint="eastAsia"/>
          <w:b w:val="false"/>
          <w:sz w:val="32"/>
          <w:szCs w:val="32"/>
          <w:lang w:val="en-US" w:eastAsia="zh-CN"/>
        </w:rPr>
        <w:t>1所示</w:t>
      </w:r>
      <w:r>
        <w:rPr>
          <w:rFonts w:ascii="Times New Roman" w:eastAsia="仿宋_GB2312" w:hAnsi="Times New Roman" w:hint="eastAsia"/>
          <w:b w:val="false"/>
          <w:sz w:val="32"/>
          <w:szCs w:val="32"/>
          <w:lang w:eastAsia="zh-CN"/>
        </w:rPr>
        <w:t>。</w:t>
      </w:r>
    </w:p>
    <w:p>
      <w:pPr>
        <w:pStyle w:val="style0"/>
        <w:keepNext w:val="false"/>
        <w:keepLines w:val="false"/>
        <w:pageBreakBefore w:val="false"/>
        <w:kinsoku/>
        <w:wordWrap/>
        <w:overflowPunct/>
        <w:topLinePunct w:val="false"/>
        <w:autoSpaceDE/>
        <w:autoSpaceDN/>
        <w:adjustRightInd/>
        <w:snapToGrid/>
        <w:spacing w:before="120" w:beforeLines="50" w:after="120" w:afterLines="50" w:lineRule="exact" w:line="560"/>
        <w:ind w:firstLine="640" w:firstLineChars="200"/>
        <w:textAlignment w:val="auto"/>
        <w:rPr>
          <w:rFonts w:ascii="仿宋_GB2312" w:cs="仿宋_GB2312" w:eastAsia="仿宋_GB2312" w:hAnsi="仿宋_GB2312" w:hint="eastAsia"/>
          <w:b w:val="false"/>
          <w:sz w:val="32"/>
          <w:szCs w:val="32"/>
        </w:rPr>
      </w:pPr>
      <w:r>
        <w:rPr>
          <w:rFonts w:ascii="黑体" w:cs="黑体" w:eastAsia="黑体" w:hAnsi="黑体" w:hint="eastAsia"/>
          <w:b w:val="false"/>
          <w:bCs/>
          <w:sz w:val="32"/>
          <w:szCs w:val="32"/>
          <w:lang w:eastAsia="zh-CN"/>
        </w:rPr>
        <w:t>八、办理地址</w:t>
      </w:r>
    </w:p>
    <w:tbl>
      <w:tblPr>
        <w:tblStyle w:val="style105"/>
        <w:tblW w:w="885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1700"/>
        <w:gridCol w:w="1783"/>
        <w:gridCol w:w="2486"/>
        <w:gridCol w:w="2881"/>
      </w:tblGrid>
      <w:tr>
        <w:trPr>
          <w:trHeight w:val="637" w:hRule="atLeast"/>
        </w:trPr>
        <w:tc>
          <w:tcPr>
            <w:tcW w:w="1700" w:type="dxa"/>
            <w:tcBorders/>
            <w:shd w:val="clear" w:color="auto" w:fill="auto"/>
            <w:vAlign w:val="center"/>
          </w:tcPr>
          <w:p>
            <w:pPr>
              <w:pStyle w:val="style0"/>
              <w:keepNext w:val="false"/>
              <w:keepLines w:val="false"/>
              <w:pageBreakBefore w:val="false"/>
              <w:kinsoku/>
              <w:wordWrap/>
              <w:overflowPunct/>
              <w:topLinePunct w:val="false"/>
              <w:autoSpaceDE/>
              <w:autoSpaceDN/>
              <w:adjustRightInd/>
              <w:snapToGrid/>
              <w:spacing w:before="120" w:beforeLines="50" w:after="120" w:afterLines="50" w:lineRule="exact" w:line="560"/>
              <w:jc w:val="center"/>
              <w:textAlignment w:val="auto"/>
              <w:rPr>
                <w:rFonts w:ascii="黑体" w:cs="黑体" w:eastAsia="黑体" w:hAnsi="黑体" w:hint="default"/>
                <w:b/>
                <w:sz w:val="24"/>
                <w:szCs w:val="24"/>
                <w:lang w:val="en-US" w:eastAsia="zh-CN"/>
              </w:rPr>
            </w:pPr>
            <w:r>
              <w:rPr>
                <w:rFonts w:ascii="黑体" w:cs="黑体" w:eastAsia="黑体" w:hAnsi="黑体" w:hint="eastAsia"/>
                <w:b/>
                <w:sz w:val="24"/>
                <w:szCs w:val="24"/>
                <w:lang w:val="en-US" w:eastAsia="zh-CN"/>
              </w:rPr>
              <w:t>业务部门</w:t>
            </w:r>
          </w:p>
        </w:tc>
        <w:tc>
          <w:tcPr>
            <w:tcW w:w="1783" w:type="dxa"/>
            <w:tcBorders/>
            <w:shd w:val="clear" w:color="auto" w:fill="auto"/>
            <w:vAlign w:val="center"/>
          </w:tcPr>
          <w:p>
            <w:pPr>
              <w:pStyle w:val="style0"/>
              <w:keepNext w:val="false"/>
              <w:keepLines w:val="false"/>
              <w:pageBreakBefore w:val="false"/>
              <w:kinsoku/>
              <w:wordWrap/>
              <w:overflowPunct/>
              <w:topLinePunct w:val="false"/>
              <w:autoSpaceDE/>
              <w:autoSpaceDN/>
              <w:adjustRightInd/>
              <w:snapToGrid/>
              <w:spacing w:before="120" w:beforeLines="50" w:after="120" w:afterLines="50" w:lineRule="exact" w:line="560"/>
              <w:jc w:val="center"/>
              <w:textAlignment w:val="auto"/>
              <w:rPr>
                <w:rFonts w:ascii="黑体" w:cs="黑体" w:eastAsia="黑体" w:hAnsi="黑体" w:hint="eastAsia"/>
                <w:b/>
                <w:sz w:val="24"/>
                <w:szCs w:val="24"/>
              </w:rPr>
            </w:pPr>
            <w:r>
              <w:rPr>
                <w:rFonts w:ascii="黑体" w:cs="黑体" w:eastAsia="黑体" w:hAnsi="黑体" w:hint="eastAsia"/>
                <w:b/>
                <w:sz w:val="24"/>
                <w:szCs w:val="24"/>
              </w:rPr>
              <w:t>联系电话</w:t>
            </w:r>
          </w:p>
        </w:tc>
        <w:tc>
          <w:tcPr>
            <w:tcW w:w="2486" w:type="dxa"/>
            <w:tcBorders/>
            <w:shd w:val="clear" w:color="auto" w:fill="auto"/>
            <w:vAlign w:val="center"/>
          </w:tcPr>
          <w:p>
            <w:pPr>
              <w:pStyle w:val="style0"/>
              <w:keepNext w:val="false"/>
              <w:keepLines w:val="false"/>
              <w:pageBreakBefore w:val="false"/>
              <w:kinsoku/>
              <w:wordWrap/>
              <w:overflowPunct/>
              <w:topLinePunct w:val="false"/>
              <w:autoSpaceDE/>
              <w:autoSpaceDN/>
              <w:adjustRightInd/>
              <w:snapToGrid/>
              <w:spacing w:before="120" w:beforeLines="50" w:after="120" w:afterLines="50" w:lineRule="exact" w:line="560"/>
              <w:jc w:val="center"/>
              <w:textAlignment w:val="auto"/>
              <w:rPr>
                <w:rFonts w:ascii="黑体" w:cs="黑体" w:eastAsia="黑体" w:hAnsi="黑体" w:hint="eastAsia"/>
                <w:b/>
                <w:sz w:val="24"/>
                <w:szCs w:val="24"/>
              </w:rPr>
            </w:pPr>
            <w:r>
              <w:rPr>
                <w:rFonts w:ascii="黑体" w:cs="黑体" w:eastAsia="黑体" w:hAnsi="黑体" w:hint="eastAsia"/>
                <w:b/>
                <w:sz w:val="24"/>
                <w:szCs w:val="24"/>
              </w:rPr>
              <w:t>办公时间</w:t>
            </w:r>
          </w:p>
        </w:tc>
        <w:tc>
          <w:tcPr>
            <w:tcW w:w="2881" w:type="dxa"/>
            <w:tcBorders/>
            <w:shd w:val="clear" w:color="auto" w:fill="auto"/>
            <w:vAlign w:val="center"/>
          </w:tcPr>
          <w:p>
            <w:pPr>
              <w:pStyle w:val="style0"/>
              <w:keepNext w:val="false"/>
              <w:keepLines w:val="false"/>
              <w:pageBreakBefore w:val="false"/>
              <w:kinsoku/>
              <w:wordWrap/>
              <w:overflowPunct/>
              <w:topLinePunct w:val="false"/>
              <w:autoSpaceDE/>
              <w:autoSpaceDN/>
              <w:adjustRightInd/>
              <w:snapToGrid/>
              <w:spacing w:before="120" w:beforeLines="50" w:after="120" w:afterLines="50" w:lineRule="exact" w:line="560"/>
              <w:jc w:val="center"/>
              <w:textAlignment w:val="auto"/>
              <w:rPr>
                <w:rFonts w:ascii="黑体" w:cs="黑体" w:eastAsia="黑体" w:hAnsi="黑体" w:hint="eastAsia"/>
                <w:b/>
                <w:sz w:val="24"/>
                <w:szCs w:val="24"/>
                <w:lang w:eastAsia="zh-CN"/>
              </w:rPr>
            </w:pPr>
            <w:r>
              <w:rPr>
                <w:rFonts w:ascii="黑体" w:cs="黑体" w:eastAsia="黑体" w:hAnsi="黑体" w:hint="eastAsia"/>
                <w:b/>
                <w:sz w:val="24"/>
                <w:szCs w:val="24"/>
                <w:lang w:val="en-US" w:eastAsia="zh-CN"/>
              </w:rPr>
              <w:t>地址</w:t>
            </w:r>
          </w:p>
        </w:tc>
      </w:tr>
      <w:tr>
        <w:tblPrEx/>
        <w:trPr>
          <w:trHeight w:val="1827" w:hRule="atLeast"/>
        </w:trPr>
        <w:tc>
          <w:tcPr>
            <w:tcW w:w="1700" w:type="dxa"/>
            <w:tcBorders/>
            <w:shd w:val="clear" w:color="auto" w:fill="auto"/>
          </w:tcPr>
          <w:p>
            <w:pPr>
              <w:pStyle w:val="style0"/>
              <w:keepNext w:val="false"/>
              <w:keepLines w:val="false"/>
              <w:pageBreakBefore w:val="false"/>
              <w:widowControl w:val="false"/>
              <w:kinsoku/>
              <w:wordWrap/>
              <w:overflowPunct/>
              <w:topLinePunct w:val="false"/>
              <w:autoSpaceDE/>
              <w:autoSpaceDN/>
              <w:bidi w:val="false"/>
              <w:adjustRightInd/>
              <w:snapToGrid/>
              <w:spacing w:before="120" w:beforeLines="50" w:after="120" w:afterLines="50" w:lineRule="exact" w:line="400"/>
              <w:jc w:val="both"/>
              <w:textAlignment w:val="auto"/>
              <w:rPr>
                <w:rFonts w:ascii="仿宋_GB2312" w:cs="仿宋_GB2312" w:eastAsia="仿宋_GB2312" w:hAnsi="仿宋_GB2312" w:hint="default"/>
                <w:b/>
                <w:sz w:val="24"/>
                <w:szCs w:val="24"/>
                <w:lang w:val="en-US" w:eastAsia="zh-CN"/>
              </w:rPr>
            </w:pPr>
            <w:r>
              <w:rPr>
                <w:rFonts w:ascii="仿宋_GB2312" w:cs="仿宋_GB2312" w:eastAsia="仿宋_GB2312" w:hAnsi="仿宋_GB2312" w:hint="eastAsia"/>
                <w:sz w:val="24"/>
                <w:szCs w:val="24"/>
              </w:rPr>
              <w:t>湛江经济技术开发区</w:t>
            </w:r>
            <w:r>
              <w:rPr>
                <w:rFonts w:ascii="仿宋_GB2312" w:cs="仿宋_GB2312" w:eastAsia="仿宋_GB2312" w:hAnsi="仿宋_GB2312" w:hint="eastAsia"/>
                <w:sz w:val="24"/>
                <w:szCs w:val="24"/>
                <w:lang w:val="en-US" w:eastAsia="zh-CN"/>
              </w:rPr>
              <w:t>经济贸易和科技局科技科</w:t>
            </w:r>
          </w:p>
        </w:tc>
        <w:tc>
          <w:tcPr>
            <w:tcW w:w="1783" w:type="dxa"/>
            <w:tcBorders/>
            <w:shd w:val="clear" w:color="auto" w:fill="auto"/>
          </w:tcPr>
          <w:p>
            <w:pPr>
              <w:pStyle w:val="style0"/>
              <w:keepNext w:val="false"/>
              <w:keepLines w:val="false"/>
              <w:pageBreakBefore w:val="false"/>
              <w:widowControl w:val="false"/>
              <w:kinsoku/>
              <w:wordWrap/>
              <w:overflowPunct/>
              <w:topLinePunct w:val="false"/>
              <w:autoSpaceDE/>
              <w:autoSpaceDN/>
              <w:bidi w:val="false"/>
              <w:adjustRightInd/>
              <w:snapToGrid/>
              <w:spacing w:before="120" w:beforeLines="50" w:after="120" w:afterLines="50" w:lineRule="exact" w:line="400"/>
              <w:jc w:val="both"/>
              <w:textAlignment w:val="auto"/>
              <w:rPr>
                <w:rFonts w:ascii="仿宋_GB2312" w:cs="仿宋_GB2312" w:eastAsia="仿宋_GB2312" w:hAnsi="仿宋_GB2312" w:hint="eastAsia"/>
                <w:b/>
                <w:sz w:val="24"/>
                <w:szCs w:val="24"/>
              </w:rPr>
            </w:pPr>
            <w:r>
              <w:rPr>
                <w:rFonts w:ascii="仿宋_GB2312" w:cs="仿宋_GB2312" w:eastAsia="仿宋_GB2312" w:hAnsi="仿宋_GB2312" w:hint="eastAsia"/>
                <w:sz w:val="24"/>
                <w:szCs w:val="24"/>
              </w:rPr>
              <w:t>0759-</w:t>
            </w:r>
            <w:r>
              <w:rPr>
                <w:rFonts w:ascii="仿宋_GB2312" w:cs="仿宋_GB2312" w:eastAsia="仿宋_GB2312" w:hAnsi="仿宋_GB2312" w:hint="eastAsia"/>
                <w:sz w:val="24"/>
                <w:szCs w:val="24"/>
                <w:lang w:val="en-US" w:eastAsia="zh-CN"/>
              </w:rPr>
              <w:t>2968401</w:t>
            </w:r>
          </w:p>
        </w:tc>
        <w:tc>
          <w:tcPr>
            <w:tcW w:w="2486" w:type="dxa"/>
            <w:tcBorders/>
            <w:shd w:val="clear" w:color="auto" w:fill="auto"/>
          </w:tcPr>
          <w:p>
            <w:pPr>
              <w:pStyle w:val="style0"/>
              <w:keepNext w:val="false"/>
              <w:keepLines w:val="false"/>
              <w:pageBreakBefore w:val="false"/>
              <w:widowControl w:val="false"/>
              <w:kinsoku/>
              <w:wordWrap/>
              <w:overflowPunct/>
              <w:topLinePunct w:val="false"/>
              <w:autoSpaceDE/>
              <w:autoSpaceDN/>
              <w:bidi w:val="false"/>
              <w:adjustRightInd/>
              <w:snapToGrid/>
              <w:spacing w:before="120" w:beforeLines="50" w:after="120" w:afterLines="50" w:lineRule="exact" w:line="4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（周一至周五）</w:t>
            </w:r>
          </w:p>
          <w:p>
            <w:pPr>
              <w:pStyle w:val="style0"/>
              <w:keepNext w:val="false"/>
              <w:keepLines w:val="false"/>
              <w:pageBreakBefore w:val="false"/>
              <w:widowControl w:val="false"/>
              <w:kinsoku/>
              <w:wordWrap/>
              <w:overflowPunct/>
              <w:topLinePunct w:val="false"/>
              <w:autoSpaceDE/>
              <w:autoSpaceDN/>
              <w:bidi w:val="false"/>
              <w:adjustRightInd/>
              <w:snapToGrid/>
              <w:spacing w:before="120" w:beforeLines="50" w:after="120" w:afterLines="50"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val="en-US" w:eastAsia="zh-CN"/>
              </w:rPr>
              <w:t>8：30-12：00</w:t>
            </w:r>
          </w:p>
          <w:p>
            <w:pPr>
              <w:pStyle w:val="style0"/>
              <w:keepNext w:val="false"/>
              <w:keepLines w:val="false"/>
              <w:pageBreakBefore w:val="false"/>
              <w:widowControl w:val="false"/>
              <w:kinsoku/>
              <w:wordWrap/>
              <w:overflowPunct/>
              <w:topLinePunct w:val="false"/>
              <w:autoSpaceDE/>
              <w:autoSpaceDN/>
              <w:bidi w:val="false"/>
              <w:adjustRightInd/>
              <w:snapToGrid/>
              <w:spacing w:before="120" w:beforeLines="50" w:after="120" w:afterLines="50" w:lineRule="exact" w:line="400"/>
              <w:jc w:val="both"/>
              <w:textAlignment w:val="auto"/>
              <w:rPr>
                <w:rFonts w:ascii="仿宋_GB2312" w:cs="仿宋_GB2312" w:eastAsia="仿宋_GB2312" w:hAnsi="仿宋_GB2312" w:hint="eastAsia"/>
                <w:b/>
                <w:sz w:val="24"/>
                <w:szCs w:val="24"/>
              </w:rPr>
            </w:pPr>
            <w:r>
              <w:rPr>
                <w:rFonts w:ascii="仿宋_GB2312" w:cs="仿宋_GB2312" w:eastAsia="仿宋_GB2312" w:hAnsi="仿宋_GB2312" w:hint="eastAsia"/>
                <w:b w:val="false"/>
                <w:kern w:val="2"/>
                <w:sz w:val="24"/>
                <w:szCs w:val="24"/>
                <w:lang w:val="en-US" w:bidi="ar-SA" w:eastAsia="zh-CN"/>
              </w:rPr>
              <w:t>14：30-18：00</w:t>
            </w:r>
          </w:p>
        </w:tc>
        <w:tc>
          <w:tcPr>
            <w:tcW w:w="2881" w:type="dxa"/>
            <w:tcBorders/>
            <w:shd w:val="clear" w:color="auto" w:fill="auto"/>
          </w:tcPr>
          <w:p>
            <w:pPr>
              <w:pStyle w:val="style0"/>
              <w:keepNext w:val="false"/>
              <w:keepLines w:val="false"/>
              <w:pageBreakBefore w:val="false"/>
              <w:widowControl w:val="false"/>
              <w:kinsoku/>
              <w:wordWrap/>
              <w:overflowPunct/>
              <w:topLinePunct w:val="false"/>
              <w:autoSpaceDE/>
              <w:autoSpaceDN/>
              <w:bidi w:val="false"/>
              <w:adjustRightInd/>
              <w:snapToGrid/>
              <w:spacing w:before="120" w:beforeLines="50" w:after="120" w:afterLines="50" w:lineRule="exact" w:line="400"/>
              <w:jc w:val="both"/>
              <w:textAlignment w:val="auto"/>
              <w:rPr>
                <w:rFonts w:ascii="仿宋_GB2312" w:cs="仿宋_GB2312" w:eastAsia="仿宋_GB2312" w:hAnsi="仿宋_GB2312" w:hint="default"/>
                <w:b/>
                <w:sz w:val="24"/>
                <w:szCs w:val="24"/>
                <w:lang w:val="en-US" w:eastAsia="zh-CN"/>
              </w:rPr>
            </w:pPr>
            <w:r>
              <w:rPr>
                <w:rFonts w:ascii="仿宋_GB2312" w:cs="仿宋_GB2312" w:eastAsia="仿宋_GB2312" w:hAnsi="仿宋_GB2312" w:hint="eastAsia"/>
                <w:b w:val="false"/>
                <w:bCs/>
                <w:sz w:val="24"/>
                <w:szCs w:val="24"/>
                <w:lang w:val="en-US" w:eastAsia="zh-CN"/>
              </w:rPr>
              <w:t>湛江经济技术开发区泰华大厦15楼1509室</w:t>
            </w:r>
          </w:p>
        </w:tc>
      </w:tr>
      <w:tr>
        <w:tblPrEx/>
        <w:trPr>
          <w:trHeight w:val="1467" w:hRule="atLeast"/>
        </w:trPr>
        <w:tc>
          <w:tcPr>
            <w:tcW w:w="1700" w:type="dxa"/>
            <w:tcBorders/>
            <w:shd w:val="clear" w:color="auto" w:fill="auto"/>
          </w:tcPr>
          <w:p>
            <w:pPr>
              <w:pStyle w:val="style0"/>
              <w:keepNext w:val="false"/>
              <w:keepLines w:val="false"/>
              <w:pageBreakBefore w:val="false"/>
              <w:widowControl w:val="false"/>
              <w:kinsoku/>
              <w:wordWrap/>
              <w:overflowPunct/>
              <w:topLinePunct w:val="false"/>
              <w:autoSpaceDE/>
              <w:autoSpaceDN/>
              <w:bidi w:val="false"/>
              <w:adjustRightInd/>
              <w:snapToGrid/>
              <w:spacing w:before="120" w:beforeLines="50" w:after="120" w:afterLines="50" w:lineRule="exact" w:line="400"/>
              <w:jc w:val="both"/>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湛江经济技术开发区旅游局文体科</w:t>
            </w:r>
          </w:p>
        </w:tc>
        <w:tc>
          <w:tcPr>
            <w:tcW w:w="1783" w:type="dxa"/>
            <w:tcBorders/>
            <w:shd w:val="clear" w:color="auto" w:fill="auto"/>
          </w:tcPr>
          <w:p>
            <w:pPr>
              <w:pStyle w:val="style0"/>
              <w:keepNext w:val="false"/>
              <w:keepLines w:val="false"/>
              <w:pageBreakBefore w:val="false"/>
              <w:widowControl w:val="false"/>
              <w:kinsoku/>
              <w:wordWrap/>
              <w:overflowPunct/>
              <w:topLinePunct w:val="false"/>
              <w:autoSpaceDE/>
              <w:autoSpaceDN/>
              <w:bidi w:val="false"/>
              <w:adjustRightInd/>
              <w:snapToGrid/>
              <w:spacing w:before="120" w:beforeLines="50" w:after="120" w:afterLines="50" w:lineRule="exact" w:line="400"/>
              <w:jc w:val="both"/>
              <w:textAlignment w:val="auto"/>
              <w:rPr>
                <w:rFonts w:ascii="仿宋_GB2312" w:cs="仿宋_GB2312" w:eastAsia="仿宋_GB2312" w:hAnsi="仿宋_GB2312" w:hint="default"/>
                <w:sz w:val="24"/>
                <w:szCs w:val="24"/>
                <w:lang w:val="en-US"/>
              </w:rPr>
            </w:pPr>
            <w:r>
              <w:rPr>
                <w:rFonts w:ascii="仿宋_GB2312" w:cs="仿宋_GB2312" w:eastAsia="仿宋_GB2312" w:hAnsi="仿宋_GB2312" w:hint="eastAsia"/>
                <w:sz w:val="24"/>
                <w:szCs w:val="24"/>
                <w:lang w:val="en-US" w:eastAsia="zh-CN"/>
              </w:rPr>
              <w:t>0759-2822919</w:t>
            </w:r>
          </w:p>
        </w:tc>
        <w:tc>
          <w:tcPr>
            <w:tcW w:w="2486" w:type="dxa"/>
            <w:tcBorders/>
            <w:shd w:val="clear" w:color="auto" w:fill="auto"/>
          </w:tcPr>
          <w:p>
            <w:pPr>
              <w:pStyle w:val="style0"/>
              <w:keepNext w:val="false"/>
              <w:keepLines w:val="false"/>
              <w:pageBreakBefore w:val="false"/>
              <w:widowControl w:val="false"/>
              <w:kinsoku/>
              <w:wordWrap/>
              <w:overflowPunct/>
              <w:topLinePunct w:val="false"/>
              <w:autoSpaceDE/>
              <w:autoSpaceDN/>
              <w:bidi w:val="false"/>
              <w:adjustRightInd/>
              <w:snapToGrid/>
              <w:spacing w:before="120" w:beforeLines="50" w:after="120" w:afterLines="50" w:lineRule="exact" w:line="4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（周一至周五）</w:t>
            </w:r>
          </w:p>
          <w:p>
            <w:pPr>
              <w:pStyle w:val="style0"/>
              <w:keepNext w:val="false"/>
              <w:keepLines w:val="false"/>
              <w:pageBreakBefore w:val="false"/>
              <w:widowControl w:val="false"/>
              <w:kinsoku/>
              <w:wordWrap/>
              <w:overflowPunct/>
              <w:topLinePunct w:val="false"/>
              <w:autoSpaceDE/>
              <w:autoSpaceDN/>
              <w:bidi w:val="false"/>
              <w:adjustRightInd/>
              <w:snapToGrid/>
              <w:spacing w:before="120" w:beforeLines="50" w:after="120" w:afterLines="50" w:lineRule="exact" w:line="40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val="en-US" w:eastAsia="zh-CN"/>
              </w:rPr>
              <w:t>8：30-12：00</w:t>
            </w:r>
          </w:p>
          <w:p>
            <w:pPr>
              <w:pStyle w:val="style2"/>
              <w:rPr>
                <w:rFonts w:hint="default"/>
                <w:lang w:val="en-US" w:eastAsia="zh-CN"/>
              </w:rPr>
            </w:pPr>
            <w:r>
              <w:rPr>
                <w:rFonts w:ascii="仿宋_GB2312" w:cs="仿宋_GB2312" w:eastAsia="仿宋_GB2312" w:hAnsi="仿宋_GB2312" w:hint="eastAsia"/>
                <w:b w:val="false"/>
                <w:kern w:val="2"/>
                <w:sz w:val="24"/>
                <w:szCs w:val="24"/>
                <w:lang w:val="en-US" w:bidi="ar-SA" w:eastAsia="zh-CN"/>
              </w:rPr>
              <w:t>14：30-18：00</w:t>
            </w:r>
          </w:p>
        </w:tc>
        <w:tc>
          <w:tcPr>
            <w:tcW w:w="2881" w:type="dxa"/>
            <w:tcBorders/>
            <w:shd w:val="clear" w:color="auto" w:fill="auto"/>
          </w:tcPr>
          <w:p>
            <w:pPr>
              <w:pStyle w:val="style0"/>
              <w:keepNext w:val="false"/>
              <w:keepLines w:val="false"/>
              <w:pageBreakBefore w:val="false"/>
              <w:widowControl w:val="false"/>
              <w:kinsoku/>
              <w:wordWrap/>
              <w:overflowPunct/>
              <w:topLinePunct w:val="false"/>
              <w:autoSpaceDE/>
              <w:autoSpaceDN/>
              <w:bidi w:val="false"/>
              <w:adjustRightInd/>
              <w:snapToGrid/>
              <w:spacing w:before="120" w:beforeLines="50" w:after="120" w:afterLines="50" w:lineRule="exact" w:line="400"/>
              <w:jc w:val="both"/>
              <w:textAlignment w:val="auto"/>
              <w:rPr>
                <w:rFonts w:ascii="仿宋_GB2312" w:cs="仿宋_GB2312" w:eastAsia="仿宋_GB2312" w:hAnsi="仿宋_GB2312" w:hint="default"/>
                <w:b/>
                <w:sz w:val="24"/>
                <w:szCs w:val="24"/>
                <w:lang w:val="en-US" w:eastAsia="zh-CN"/>
              </w:rPr>
            </w:pPr>
            <w:r>
              <w:rPr>
                <w:rFonts w:ascii="仿宋_GB2312" w:cs="仿宋_GB2312" w:eastAsia="仿宋_GB2312" w:hAnsi="仿宋_GB2312" w:hint="eastAsia"/>
                <w:sz w:val="24"/>
                <w:szCs w:val="24"/>
                <w:lang w:val="en-US" w:eastAsia="zh-CN"/>
              </w:rPr>
              <w:t>湛江市人民大道中39号开发区图书馆</w:t>
            </w:r>
          </w:p>
        </w:tc>
      </w:tr>
      <w:tr>
        <w:tblPrEx/>
        <w:trPr>
          <w:trHeight w:val="1207" w:hRule="atLeast"/>
        </w:trPr>
        <w:tc>
          <w:tcPr>
            <w:tcW w:w="1700" w:type="dxa"/>
            <w:tcBorders/>
            <w:shd w:val="clear" w:color="auto" w:fill="auto"/>
          </w:tcPr>
          <w:p>
            <w:pPr>
              <w:pStyle w:val="style0"/>
              <w:keepNext w:val="false"/>
              <w:keepLines w:val="false"/>
              <w:pageBreakBefore w:val="false"/>
              <w:widowControl w:val="false"/>
              <w:kinsoku/>
              <w:wordWrap/>
              <w:overflowPunct/>
              <w:topLinePunct w:val="false"/>
              <w:autoSpaceDE/>
              <w:autoSpaceDN/>
              <w:bidi w:val="false"/>
              <w:adjustRightInd/>
              <w:snapToGrid/>
              <w:spacing w:before="120" w:beforeLines="50" w:after="120" w:afterLines="50" w:lineRule="exact" w:line="400"/>
              <w:jc w:val="both"/>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湛江经济技术开发区教育局教育科</w:t>
            </w:r>
          </w:p>
        </w:tc>
        <w:tc>
          <w:tcPr>
            <w:tcW w:w="1783" w:type="dxa"/>
            <w:tcBorders/>
            <w:shd w:val="clear" w:color="auto" w:fill="auto"/>
          </w:tcPr>
          <w:p>
            <w:pPr>
              <w:pStyle w:val="style0"/>
              <w:keepNext w:val="false"/>
              <w:keepLines w:val="false"/>
              <w:pageBreakBefore w:val="false"/>
              <w:widowControl w:val="false"/>
              <w:kinsoku/>
              <w:wordWrap/>
              <w:overflowPunct/>
              <w:topLinePunct w:val="false"/>
              <w:autoSpaceDE/>
              <w:autoSpaceDN/>
              <w:bidi w:val="false"/>
              <w:adjustRightInd/>
              <w:snapToGrid/>
              <w:spacing w:before="120" w:beforeLines="50" w:after="120" w:afterLines="50" w:lineRule="exact" w:line="4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lang w:val="en-US" w:eastAsia="zh-CN"/>
              </w:rPr>
              <w:t>0759-2968296</w:t>
            </w:r>
          </w:p>
        </w:tc>
        <w:tc>
          <w:tcPr>
            <w:tcW w:w="2486" w:type="dxa"/>
            <w:tcBorders/>
            <w:shd w:val="clear" w:color="auto" w:fill="auto"/>
          </w:tcPr>
          <w:p>
            <w:pPr>
              <w:pStyle w:val="style0"/>
              <w:keepNext w:val="false"/>
              <w:keepLines w:val="false"/>
              <w:pageBreakBefore w:val="false"/>
              <w:widowControl w:val="false"/>
              <w:kinsoku/>
              <w:wordWrap/>
              <w:overflowPunct/>
              <w:topLinePunct w:val="false"/>
              <w:autoSpaceDE/>
              <w:autoSpaceDN/>
              <w:bidi w:val="false"/>
              <w:adjustRightInd/>
              <w:snapToGrid/>
              <w:spacing w:before="120" w:beforeLines="50" w:after="120" w:afterLines="50" w:lineRule="exact" w:line="400"/>
              <w:jc w:val="both"/>
              <w:textAlignment w:val="auto"/>
              <w:rPr>
                <w:rFonts w:ascii="仿宋_GB2312" w:cs="仿宋_GB2312" w:eastAsia="仿宋_GB2312" w:hAnsi="仿宋_GB2312" w:hint="eastAsia"/>
                <w:sz w:val="24"/>
                <w:szCs w:val="24"/>
              </w:rPr>
            </w:pPr>
            <w:r>
              <w:rPr>
                <w:rFonts w:ascii="仿宋_GB2312" w:cs="仿宋_GB2312" w:eastAsia="仿宋_GB2312" w:hAnsi="仿宋_GB2312" w:hint="eastAsia"/>
                <w:sz w:val="24"/>
                <w:szCs w:val="24"/>
              </w:rPr>
              <w:t>（周一至周五）</w:t>
            </w:r>
          </w:p>
          <w:p>
            <w:pPr>
              <w:pStyle w:val="style0"/>
              <w:keepNext w:val="false"/>
              <w:keepLines w:val="false"/>
              <w:pageBreakBefore w:val="false"/>
              <w:widowControl w:val="false"/>
              <w:kinsoku/>
              <w:wordWrap/>
              <w:overflowPunct/>
              <w:topLinePunct w:val="false"/>
              <w:autoSpaceDE/>
              <w:autoSpaceDN/>
              <w:bidi w:val="false"/>
              <w:adjustRightInd/>
              <w:snapToGrid/>
              <w:spacing w:before="120" w:beforeLines="50" w:after="120" w:afterLines="50" w:lineRule="exact" w:line="400"/>
              <w:jc w:val="both"/>
              <w:textAlignment w:val="auto"/>
              <w:rPr>
                <w:rFonts w:ascii="仿宋_GB2312" w:cs="仿宋_GB2312" w:eastAsia="仿宋_GB2312" w:hAnsi="仿宋_GB2312" w:hint="default"/>
                <w:sz w:val="24"/>
                <w:szCs w:val="24"/>
                <w:lang w:val="en-US" w:eastAsia="zh-CN"/>
              </w:rPr>
            </w:pPr>
            <w:r>
              <w:rPr>
                <w:rFonts w:ascii="仿宋_GB2312" w:cs="仿宋_GB2312" w:eastAsia="仿宋_GB2312" w:hAnsi="仿宋_GB2312" w:hint="eastAsia"/>
                <w:sz w:val="24"/>
                <w:szCs w:val="24"/>
                <w:lang w:val="en-US" w:eastAsia="zh-CN"/>
              </w:rPr>
              <w:t>9：00-17：00</w:t>
            </w:r>
          </w:p>
        </w:tc>
        <w:tc>
          <w:tcPr>
            <w:tcW w:w="2881" w:type="dxa"/>
            <w:tcBorders/>
            <w:shd w:val="clear" w:color="auto" w:fill="auto"/>
          </w:tcPr>
          <w:p>
            <w:pPr>
              <w:pStyle w:val="style0"/>
              <w:keepNext w:val="false"/>
              <w:keepLines w:val="false"/>
              <w:pageBreakBefore w:val="false"/>
              <w:widowControl w:val="false"/>
              <w:kinsoku/>
              <w:wordWrap/>
              <w:overflowPunct/>
              <w:topLinePunct w:val="false"/>
              <w:autoSpaceDE/>
              <w:autoSpaceDN/>
              <w:bidi w:val="false"/>
              <w:adjustRightInd/>
              <w:snapToGrid/>
              <w:spacing w:before="120" w:beforeLines="50" w:after="120" w:afterLines="50" w:lineRule="exact" w:line="400"/>
              <w:jc w:val="both"/>
              <w:textAlignment w:val="auto"/>
              <w:rPr>
                <w:rFonts w:ascii="仿宋_GB2312" w:cs="仿宋_GB2312" w:eastAsia="仿宋_GB2312" w:hAnsi="仿宋_GB2312" w:hint="default"/>
                <w:b/>
                <w:sz w:val="24"/>
                <w:szCs w:val="24"/>
                <w:lang w:val="en-US" w:eastAsia="zh-CN"/>
              </w:rPr>
            </w:pPr>
            <w:r>
              <w:rPr>
                <w:rFonts w:ascii="仿宋_GB2312" w:cs="仿宋_GB2312" w:eastAsia="仿宋_GB2312" w:hAnsi="仿宋_GB2312" w:hint="eastAsia"/>
                <w:sz w:val="24"/>
                <w:szCs w:val="24"/>
                <w:lang w:val="en-US" w:eastAsia="zh-CN"/>
              </w:rPr>
              <w:t>东海岛东海大厦12楼1204室</w:t>
            </w:r>
          </w:p>
        </w:tc>
      </w:tr>
    </w:tbl>
    <w:p>
      <w:pPr>
        <w:pStyle w:val="style0"/>
        <w:keepNext w:val="false"/>
        <w:keepLines w:val="false"/>
        <w:pageBreakBefore w:val="false"/>
        <w:kinsoku/>
        <w:wordWrap/>
        <w:overflowPunct/>
        <w:topLinePunct w:val="false"/>
        <w:autoSpaceDE/>
        <w:autoSpaceDN/>
        <w:adjustRightInd/>
        <w:snapToGrid/>
        <w:spacing w:before="120" w:beforeLines="50" w:after="120" w:afterLines="50" w:lineRule="exact" w:line="560"/>
        <w:ind w:firstLine="640" w:firstLineChars="200"/>
        <w:textAlignment w:val="auto"/>
        <w:rPr>
          <w:rFonts w:ascii="黑体" w:cs="黑体" w:eastAsia="黑体" w:hAnsi="黑体" w:hint="eastAsia"/>
          <w:b w:val="false"/>
          <w:bCs/>
          <w:sz w:val="32"/>
          <w:szCs w:val="32"/>
        </w:rPr>
      </w:pPr>
      <w:r>
        <w:rPr>
          <w:rFonts w:ascii="黑体" w:cs="黑体" w:eastAsia="黑体" w:hAnsi="黑体" w:hint="eastAsia"/>
          <w:b w:val="false"/>
          <w:bCs/>
          <w:sz w:val="32"/>
          <w:szCs w:val="32"/>
          <w:lang w:eastAsia="zh-CN"/>
        </w:rPr>
        <w:t>九</w:t>
      </w:r>
      <w:r>
        <w:rPr>
          <w:rFonts w:ascii="黑体" w:cs="黑体" w:eastAsia="黑体" w:hAnsi="黑体" w:hint="eastAsia"/>
          <w:b w:val="false"/>
          <w:bCs/>
          <w:sz w:val="32"/>
          <w:szCs w:val="32"/>
        </w:rPr>
        <w:t>、咨询、投诉、行政复议或行政诉讼</w:t>
      </w:r>
    </w:p>
    <w:p>
      <w:pPr>
        <w:pStyle w:val="style0"/>
        <w:keepNext w:val="false"/>
        <w:keepLines w:val="false"/>
        <w:pageBreakBefore w:val="false"/>
        <w:kinsoku/>
        <w:wordWrap/>
        <w:overflowPunct/>
        <w:topLinePunct w:val="false"/>
        <w:autoSpaceDE/>
        <w:autoSpaceDN/>
        <w:adjustRightInd/>
        <w:snapToGrid/>
        <w:spacing w:lineRule="auto" w:line="240"/>
        <w:ind w:left="0" w:leftChars="0" w:firstLine="640" w:firstLineChars="20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1.申请人可通过电话、窗口等方式进行咨询和审批进程查询。</w:t>
      </w:r>
    </w:p>
    <w:p>
      <w:pPr>
        <w:pStyle w:val="style0"/>
        <w:keepNext w:val="false"/>
        <w:keepLines w:val="false"/>
        <w:pageBreakBefore w:val="false"/>
        <w:kinsoku/>
        <w:wordWrap/>
        <w:overflowPunct/>
        <w:topLinePunct w:val="false"/>
        <w:autoSpaceDE/>
        <w:autoSpaceDN/>
        <w:adjustRightInd/>
        <w:snapToGrid/>
        <w:spacing w:lineRule="auto" w:line="240"/>
        <w:ind w:left="0" w:leftChars="0" w:firstLine="640" w:firstLineChars="200"/>
        <w:textAlignment w:val="auto"/>
        <w:rPr>
          <w:rFonts w:ascii="仿宋_GB2312" w:cs="仿宋_GB2312" w:eastAsia="仿宋_GB2312" w:hAnsi="仿宋_GB2312" w:hint="eastAsia"/>
          <w:b/>
          <w:sz w:val="32"/>
          <w:szCs w:val="32"/>
        </w:rPr>
      </w:pPr>
      <w:r>
        <w:rPr>
          <w:rFonts w:ascii="仿宋_GB2312" w:cs="仿宋_GB2312" w:eastAsia="仿宋_GB2312" w:hAnsi="仿宋_GB2312" w:hint="eastAsia"/>
          <w:sz w:val="32"/>
          <w:szCs w:val="32"/>
          <w:lang w:val="en-US" w:eastAsia="zh-CN"/>
        </w:rPr>
        <w:t>湛</w:t>
      </w:r>
      <w:r>
        <w:rPr>
          <w:rFonts w:ascii="仿宋_GB2312" w:cs="仿宋_GB2312" w:eastAsia="仿宋_GB2312" w:hAnsi="仿宋_GB2312" w:hint="eastAsia"/>
          <w:sz w:val="32"/>
          <w:szCs w:val="32"/>
        </w:rPr>
        <w:t>江经济技术开发区经济贸易和科技局0759-2968401，湛江经济技术开发区旅游局</w:t>
      </w:r>
      <w:r>
        <w:rPr>
          <w:rFonts w:ascii="仿宋_GB2312" w:cs="仿宋_GB2312" w:eastAsia="仿宋_GB2312" w:hAnsi="仿宋_GB2312" w:hint="eastAsia"/>
          <w:sz w:val="32"/>
          <w:szCs w:val="32"/>
          <w:lang w:val="en-US" w:eastAsia="zh-CN"/>
        </w:rPr>
        <w:t>0759-2822919</w:t>
      </w:r>
      <w:r>
        <w:rPr>
          <w:rFonts w:ascii="仿宋_GB2312" w:cs="仿宋_GB2312" w:eastAsia="仿宋_GB2312" w:hAnsi="仿宋_GB2312" w:hint="eastAsia"/>
          <w:sz w:val="32"/>
          <w:szCs w:val="32"/>
        </w:rPr>
        <w:t>，湛江经济技术开发区教育局0759-2968296。</w:t>
      </w:r>
    </w:p>
    <w:p>
      <w:pPr>
        <w:pStyle w:val="style0"/>
        <w:keepNext w:val="false"/>
        <w:keepLines w:val="false"/>
        <w:pageBreakBefore w:val="false"/>
        <w:kinsoku/>
        <w:wordWrap/>
        <w:overflowPunct/>
        <w:topLinePunct w:val="false"/>
        <w:autoSpaceDE/>
        <w:autoSpaceDN/>
        <w:adjustRightInd/>
        <w:snapToGrid/>
        <w:spacing w:lineRule="exact" w:line="560"/>
        <w:textAlignment w:val="auto"/>
        <w:rPr>
          <w:rFonts w:ascii="仿宋_GB2312" w:cs="仿宋_GB2312" w:eastAsia="仿宋_GB2312" w:hAnsi="仿宋_GB2312" w:hint="eastAsia"/>
          <w:b/>
          <w:sz w:val="32"/>
          <w:szCs w:val="32"/>
        </w:rPr>
      </w:pPr>
      <w:r>
        <w:rPr>
          <w:rFonts w:ascii="仿宋_GB2312" w:cs="仿宋_GB2312" w:eastAsia="仿宋_GB2312" w:hAnsi="仿宋_GB2312" w:hint="eastAsia"/>
          <w:sz w:val="32"/>
          <w:szCs w:val="32"/>
        </w:rPr>
        <w:t xml:space="preserve">    2.申请人可通过电话、窗口等方式进行投诉。</w:t>
      </w:r>
    </w:p>
    <w:p>
      <w:pPr>
        <w:pStyle w:val="style0"/>
        <w:keepNext w:val="false"/>
        <w:keepLines w:val="false"/>
        <w:pageBreakBefore w:val="false"/>
        <w:kinsoku/>
        <w:wordWrap/>
        <w:overflowPunct/>
        <w:topLinePunct w:val="false"/>
        <w:autoSpaceDE/>
        <w:autoSpaceDN/>
        <w:adjustRightInd/>
        <w:snapToGrid/>
        <w:spacing w:lineRule="exact" w:line="560"/>
        <w:ind w:firstLine="64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lang w:val="en-US" w:eastAsia="zh-CN"/>
        </w:rPr>
        <w:t>湛</w:t>
      </w:r>
      <w:r>
        <w:rPr>
          <w:rFonts w:ascii="仿宋_GB2312" w:cs="仿宋_GB2312" w:eastAsia="仿宋_GB2312" w:hAnsi="仿宋_GB2312" w:hint="eastAsia"/>
          <w:sz w:val="32"/>
          <w:szCs w:val="32"/>
        </w:rPr>
        <w:t>江经济技术开发区经济贸易和科技局0759-2968401，湛江经济技术开发区旅游局</w:t>
      </w:r>
      <w:r>
        <w:rPr>
          <w:rFonts w:ascii="仿宋_GB2312" w:cs="仿宋_GB2312" w:eastAsia="仿宋_GB2312" w:hAnsi="仿宋_GB2312" w:hint="eastAsia"/>
          <w:sz w:val="32"/>
          <w:szCs w:val="32"/>
          <w:lang w:val="en-US" w:eastAsia="zh-CN"/>
        </w:rPr>
        <w:t>0759-2822919</w:t>
      </w:r>
      <w:r>
        <w:rPr>
          <w:rFonts w:ascii="仿宋_GB2312" w:cs="仿宋_GB2312" w:eastAsia="仿宋_GB2312" w:hAnsi="仿宋_GB2312" w:hint="eastAsia"/>
          <w:sz w:val="32"/>
          <w:szCs w:val="32"/>
        </w:rPr>
        <w:t>，湛江经济技术开发区教育局0759-2968296。</w:t>
      </w:r>
    </w:p>
    <w:p>
      <w:pPr>
        <w:pStyle w:val="style0"/>
        <w:keepNext w:val="false"/>
        <w:keepLines w:val="false"/>
        <w:pageBreakBefore w:val="false"/>
        <w:kinsoku/>
        <w:wordWrap/>
        <w:overflowPunct/>
        <w:topLinePunct w:val="false"/>
        <w:autoSpaceDE/>
        <w:autoSpaceDN/>
        <w:adjustRightInd/>
        <w:snapToGrid/>
        <w:spacing w:lineRule="exact" w:line="560"/>
        <w:ind w:firstLine="640"/>
        <w:textAlignment w:val="auto"/>
        <w:rPr>
          <w:rFonts w:hint="eastAsia"/>
          <w:lang w:val="en-US" w:eastAsia="zh-CN"/>
        </w:rPr>
      </w:pPr>
      <w:r>
        <w:rPr>
          <w:rFonts w:ascii="仿宋_GB2312" w:cs="仿宋_GB2312" w:eastAsia="仿宋_GB2312" w:hAnsi="仿宋_GB2312" w:hint="eastAsia"/>
          <w:sz w:val="32"/>
          <w:szCs w:val="32"/>
        </w:rPr>
        <w:t>3.申请人对本事项的办理结果有异议的，可依法申请行政复议或提起行政诉讼。</w:t>
      </w:r>
    </w:p>
    <w:p>
      <w:pPr>
        <w:pStyle w:val="style0"/>
        <w:jc w:val="center"/>
        <w:rPr>
          <w:rFonts w:ascii="黑体" w:cs="黑体" w:eastAsia="黑体" w:hAnsi="黑体" w:hint="eastAsia"/>
          <w:b/>
          <w:bCs/>
          <w:sz w:val="28"/>
          <w:szCs w:val="36"/>
          <w:lang w:val="en-US" w:eastAsia="zh-CN"/>
        </w:rPr>
      </w:pPr>
    </w:p>
    <w:p>
      <w:pPr>
        <w:pStyle w:val="style0"/>
        <w:jc w:val="both"/>
        <w:rPr>
          <w:rFonts w:ascii="黑体" w:cs="黑体" w:eastAsia="黑体" w:hAnsi="黑体" w:hint="eastAsia"/>
          <w:b/>
          <w:bCs/>
          <w:sz w:val="28"/>
          <w:szCs w:val="36"/>
          <w:lang w:val="en-US" w:eastAsia="zh-CN"/>
        </w:rPr>
      </w:pPr>
    </w:p>
    <w:p>
      <w:pPr>
        <w:pStyle w:val="style0"/>
        <w:rPr>
          <w:rFonts w:ascii="黑体" w:cs="黑体" w:eastAsia="黑体" w:hAnsi="黑体" w:hint="eastAsia"/>
          <w:b/>
          <w:bCs/>
          <w:sz w:val="28"/>
          <w:szCs w:val="36"/>
          <w:lang w:val="en-US" w:eastAsia="zh-CN"/>
        </w:rPr>
      </w:pPr>
      <w:r>
        <w:rPr>
          <w:rFonts w:ascii="黑体" w:cs="黑体" w:eastAsia="黑体" w:hAnsi="黑体" w:hint="eastAsia"/>
          <w:b/>
          <w:bCs/>
          <w:sz w:val="28"/>
          <w:szCs w:val="36"/>
          <w:lang w:val="en-US" w:eastAsia="zh-CN"/>
        </w:rPr>
        <w:br w:type="page"/>
      </w:r>
    </w:p>
    <w:p>
      <w:pPr>
        <w:pStyle w:val="style0"/>
        <w:jc w:val="center"/>
        <w:rPr>
          <w:rFonts w:ascii="黑体" w:cs="黑体" w:eastAsia="黑体" w:hAnsi="黑体" w:hint="eastAsia"/>
          <w:b/>
          <w:bCs/>
          <w:sz w:val="28"/>
          <w:szCs w:val="36"/>
          <w:lang w:val="en-US" w:eastAsia="zh-CN"/>
        </w:rPr>
      </w:pPr>
      <w:r>
        <w:rPr>
          <w:rFonts w:ascii="黑体" w:cs="黑体" w:eastAsia="黑体" w:hAnsi="黑体" w:hint="eastAsia"/>
          <w:b/>
          <w:bCs/>
          <w:sz w:val="28"/>
          <w:szCs w:val="36"/>
          <w:lang w:val="en-US" w:eastAsia="zh-CN"/>
        </w:rPr>
        <w:t>图1 非学科类校外培训机构正式设立审批窗口办理流程图</w:t>
      </w:r>
    </w:p>
    <w:p>
      <w:pPr>
        <w:pStyle w:val="style2"/>
        <w:rPr>
          <w:rFonts w:hint="eastAsia"/>
          <w:lang w:val="en-US" w:eastAsia="zh-CN"/>
        </w:rPr>
      </w:pPr>
      <w:r>
        <w:rPr>
          <w:rFonts w:hint="eastAsia"/>
          <w:lang w:val="en-US" w:eastAsia="zh-CN"/>
        </w:rPr>
        <w:drawing>
          <wp:inline distL="0" distT="0" distB="0" distR="0">
            <wp:extent cx="5610860" cy="6631305"/>
            <wp:effectExtent l="0" t="0" r="2540" b="10795"/>
            <wp:docPr id="1026" name="图片 3" descr="非学科类校外培训机构正式设立审批窗口办理工作流程"/>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3"/>
                    <pic:cNvPicPr/>
                  </pic:nvPicPr>
                  <pic:blipFill>
                    <a:blip r:embed="rId2" cstate="print"/>
                    <a:srcRect l="0" t="0" r="0" b="0"/>
                    <a:stretch/>
                  </pic:blipFill>
                  <pic:spPr>
                    <a:xfrm rot="0">
                      <a:off x="0" y="0"/>
                      <a:ext cx="5610860" cy="6631305"/>
                    </a:xfrm>
                    <a:prstGeom prst="rect"/>
                  </pic:spPr>
                </pic:pic>
              </a:graphicData>
            </a:graphic>
          </wp:inline>
        </w:drawing>
      </w:r>
    </w:p>
    <w:sectPr>
      <w:footerReference w:type="default" r:id="rId3"/>
      <w:pgSz w:w="11906" w:h="16838" w:orient="portrait"/>
      <w:pgMar w:top="2041" w:right="1531" w:bottom="2041" w:left="1531"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Cambria">
    <w:altName w:val="Cambria"/>
    <w:panose1 w:val="02040503050004030204"/>
    <w:charset w:val="00"/>
    <w:family w:val="auto"/>
    <w:pitch w:val="default"/>
    <w:sig w:usb0="E00002FF" w:usb1="400004FF" w:usb2="00000000" w:usb3="00000000" w:csb0="2000019F" w:csb1="00000000"/>
  </w:font>
  <w:font w:name="方正小标宋简体">
    <w:altName w:val="方正小标宋简体"/>
    <w:panose1 w:val="03000509000000000000"/>
    <w:charset w:val="86"/>
    <w:family w:val="auto"/>
    <w:pitch w:val="default"/>
    <w:sig w:usb0="00000001" w:usb1="080E0000" w:usb2="00000000" w:usb3="00000000" w:csb0="00040000" w:csb1="00000000"/>
  </w:font>
  <w:font w:name="仿宋_GB2312">
    <w:altName w:val="仿宋_GB2312"/>
    <w:panose1 w:val="02010609030001010101"/>
    <w:charset w:val="86"/>
    <w:family w:val="auto"/>
    <w:pitch w:val="default"/>
    <w:sig w:usb0="00000001" w:usb1="080E0000" w:usb2="00000000" w:usb3="00000000" w:csb0="00040000" w:csb1="00000000"/>
  </w:font>
  <w:font w:name="楷体_GB2312">
    <w:altName w:val="楷体_GB2312"/>
    <w:panose1 w:val="02010609030001010101"/>
    <w:charset w:val="86"/>
    <w:family w:val="auto"/>
    <w:pitch w:val="default"/>
    <w:sig w:usb0="00000001" w:usb1="080E0000" w:usb2="00000000" w:usb3="00000000" w:csb0="00040000"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rPr>
        <w:sz w:val="18"/>
      </w:rPr>
      <mc:AlternateContent>
        <mc:Choice Requires="wps">
          <w:drawing>
            <wp:anchor distT="0" distB="0" distL="0" distR="0" simplePos="false" relativeHeight="2" behindDoc="false" locked="false" layoutInCell="true" allowOverlap="true">
              <wp:simplePos x="0" y="0"/>
              <wp:positionH relativeFrom="margin">
                <wp:align>outside</wp:align>
              </wp:positionH>
              <wp:positionV relativeFrom="paragraph">
                <wp:posOffset>0</wp:posOffset>
              </wp:positionV>
              <wp:extent cx="1828800" cy="1828800"/>
              <wp:effectExtent l="0" t="0" r="0" b="0"/>
              <wp:wrapNone/>
              <wp:docPr id="4097" name="文本框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pPr>
                            <w:pStyle w:val="style32"/>
                            <w:rPr>
                              <w:rFonts w:ascii="宋体" w:cs="宋体" w:eastAsia="宋体" w:hAnsi="宋体" w:hint="eastAsia"/>
                              <w:sz w:val="28"/>
                              <w:szCs w:val="28"/>
                            </w:rPr>
                          </w:pPr>
                          <w:r>
                            <w:rPr>
                              <w:rFonts w:ascii="宋体" w:cs="宋体" w:eastAsia="宋体" w:hAnsi="宋体" w:hint="eastAsia"/>
                              <w:sz w:val="28"/>
                              <w:szCs w:val="28"/>
                            </w:rPr>
                            <w:t xml:space="preserve">— </w:t>
                          </w:r>
                          <w:r>
                            <w:rPr>
                              <w:rFonts w:ascii="宋体" w:cs="宋体" w:eastAsia="宋体" w:hAnsi="宋体" w:hint="eastAsia"/>
                              <w:sz w:val="28"/>
                              <w:szCs w:val="28"/>
                            </w:rPr>
                            <w:fldChar w:fldCharType="begin"/>
                          </w:r>
                          <w:r>
                            <w:rPr>
                              <w:rFonts w:ascii="宋体" w:cs="宋体" w:eastAsia="宋体" w:hAnsi="宋体" w:hint="eastAsia"/>
                              <w:sz w:val="28"/>
                              <w:szCs w:val="28"/>
                            </w:rPr>
                            <w:instrText xml:space="preserve"> PAGE  \* MERGEFORMAT </w:instrText>
                          </w:r>
                          <w:r>
                            <w:rPr>
                              <w:rFonts w:ascii="宋体" w:cs="宋体" w:eastAsia="宋体" w:hAnsi="宋体" w:hint="eastAsia"/>
                              <w:sz w:val="28"/>
                              <w:szCs w:val="28"/>
                            </w:rPr>
                            <w:fldChar w:fldCharType="separate"/>
                          </w:r>
                          <w:r>
                            <w:rPr>
                              <w:rFonts w:ascii="宋体" w:cs="宋体" w:eastAsia="宋体" w:hAnsi="宋体" w:hint="eastAsia"/>
                              <w:sz w:val="28"/>
                              <w:szCs w:val="28"/>
                            </w:rPr>
                            <w:t>1</w:t>
                          </w:r>
                          <w:r>
                            <w:rPr>
                              <w:rFonts w:ascii="宋体" w:cs="宋体" w:eastAsia="宋体" w:hAnsi="宋体" w:hint="eastAsia"/>
                              <w:sz w:val="28"/>
                              <w:szCs w:val="28"/>
                            </w:rPr>
                            <w:fldChar w:fldCharType="end"/>
                          </w:r>
                          <w:r>
                            <w:rPr>
                              <w:rFonts w:ascii="宋体" w:cs="宋体" w:eastAsia="宋体" w:hAnsi="宋体" w:hint="eastAsia"/>
                              <w:sz w:val="28"/>
                              <w:szCs w:val="28"/>
                            </w:rPr>
                            <w:t xml:space="preserve"> —</w:t>
                          </w:r>
                        </w:p>
                      </w:txbxContent>
                    </wps:txbx>
                    <wps:bodyPr lIns="0" rIns="0" tIns="0" bIns="0" vert="horz" anchor="t" wrap="none" upright="false">
                      <a:prstTxWarp prst="textNoShape"/>
                      <a:spAutoFit/>
                    </wps:bodyPr>
                  </wps:wsp>
                </a:graphicData>
              </a:graphic>
            </wp:anchor>
          </w:drawing>
        </mc:Choice>
        <mc:Fallback>
          <w:pict>
            <v:rect id="4097" filled="f" stroked="f" style="position:absolute;margin-left:0.0pt;margin-top:0.0pt;width:144.0pt;height:144.0pt;z-index:2;mso-position-horizontal:outside;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rFonts w:ascii="宋体" w:cs="宋体" w:eastAsia="宋体" w:hAnsi="宋体" w:hint="eastAsia"/>
                        <w:sz w:val="28"/>
                        <w:szCs w:val="28"/>
                      </w:rPr>
                    </w:pPr>
                    <w:r>
                      <w:rPr>
                        <w:rFonts w:ascii="宋体" w:cs="宋体" w:eastAsia="宋体" w:hAnsi="宋体" w:hint="eastAsia"/>
                        <w:sz w:val="28"/>
                        <w:szCs w:val="28"/>
                      </w:rPr>
                      <w:t xml:space="preserve">— </w:t>
                    </w:r>
                    <w:r>
                      <w:rPr>
                        <w:rFonts w:ascii="宋体" w:cs="宋体" w:eastAsia="宋体" w:hAnsi="宋体" w:hint="eastAsia"/>
                        <w:sz w:val="28"/>
                        <w:szCs w:val="28"/>
                      </w:rPr>
                      <w:fldChar w:fldCharType="begin"/>
                    </w:r>
                    <w:r>
                      <w:rPr>
                        <w:rFonts w:ascii="宋体" w:cs="宋体" w:eastAsia="宋体" w:hAnsi="宋体" w:hint="eastAsia"/>
                        <w:sz w:val="28"/>
                        <w:szCs w:val="28"/>
                      </w:rPr>
                      <w:instrText xml:space="preserve"> PAGE  \* MERGEFORMAT </w:instrText>
                    </w:r>
                    <w:r>
                      <w:rPr>
                        <w:rFonts w:ascii="宋体" w:cs="宋体" w:eastAsia="宋体" w:hAnsi="宋体" w:hint="eastAsia"/>
                        <w:sz w:val="28"/>
                        <w:szCs w:val="28"/>
                      </w:rPr>
                      <w:fldChar w:fldCharType="separate"/>
                    </w:r>
                    <w:r>
                      <w:rPr>
                        <w:rFonts w:ascii="宋体" w:cs="宋体" w:eastAsia="宋体" w:hAnsi="宋体" w:hint="eastAsia"/>
                        <w:sz w:val="28"/>
                        <w:szCs w:val="28"/>
                      </w:rPr>
                      <w:t>1</w:t>
                    </w:r>
                    <w:r>
                      <w:rPr>
                        <w:rFonts w:ascii="宋体" w:cs="宋体" w:eastAsia="宋体" w:hAnsi="宋体" w:hint="eastAsia"/>
                        <w:sz w:val="28"/>
                        <w:szCs w:val="28"/>
                      </w:rPr>
                      <w:fldChar w:fldCharType="end"/>
                    </w:r>
                    <w:r>
                      <w:rPr>
                        <w:rFonts w:ascii="宋体" w:cs="宋体" w:eastAsia="宋体" w:hAnsi="宋体" w:hint="eastAsia"/>
                        <w:sz w:val="28"/>
                        <w:szCs w:val="28"/>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2"/>
    <w:qFormat/>
    <w:uiPriority w:val="0"/>
    <w:pPr>
      <w:widowControl w:val="false"/>
      <w:jc w:val="both"/>
    </w:pPr>
    <w:rPr>
      <w:rFonts w:ascii="Calibri" w:cs="宋体" w:eastAsia="宋体" w:hAnsi="Calibri"/>
      <w:kern w:val="2"/>
      <w:sz w:val="21"/>
      <w:szCs w:val="24"/>
      <w:lang w:val="en-US" w:bidi="ar-SA" w:eastAsia="zh-CN"/>
    </w:rPr>
  </w:style>
  <w:style w:type="paragraph" w:styleId="style2">
    <w:name w:val="heading 2"/>
    <w:basedOn w:val="style0"/>
    <w:next w:val="style0"/>
    <w:qFormat/>
    <w:uiPriority w:val="0"/>
    <w:pPr>
      <w:spacing w:before="100" w:beforeAutospacing="true" w:after="100" w:afterAutospacing="true"/>
      <w:outlineLvl w:val="1"/>
    </w:pPr>
    <w:rPr>
      <w:rFonts w:ascii="Cambria" w:cs="Times New Roman" w:hAnsi="Cambria" w:hint="default"/>
      <w:b/>
      <w:sz w:val="32"/>
      <w:szCs w:val="32"/>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32">
    <w:name w:val="footer"/>
    <w:basedOn w:val="style0"/>
    <w:next w:val="style32"/>
    <w:qFormat/>
    <w:uiPriority w:val="0"/>
    <w:pPr>
      <w:tabs>
        <w:tab w:val="center" w:leader="none" w:pos="4153"/>
        <w:tab w:val="right" w:leader="none" w:pos="8306"/>
      </w:tabs>
      <w:snapToGrid w:val="false"/>
      <w:jc w:val="left"/>
    </w:pPr>
    <w:rPr>
      <w:sz w:val="18"/>
    </w:rPr>
  </w:style>
  <w:style w:type="paragraph" w:styleId="style31">
    <w:name w:val="header"/>
    <w:basedOn w:val="style0"/>
    <w:next w:val="style31"/>
    <w:qFormat/>
    <w:uiPriority w:val="0"/>
    <w:pPr>
      <w:pBdr>
        <w:left w:val="none" w:sz="0" w:space="4" w:color="auto"/>
        <w:right w:val="none" w:sz="0" w:space="4" w:color="auto"/>
        <w:top w:val="none" w:sz="0" w:space="1" w:color="auto"/>
        <w:bottom w:val="none" w:sz="0" w:space="1" w:color="auto"/>
      </w:pBdr>
      <w:tabs>
        <w:tab w:val="center" w:leader="none" w:pos="4153"/>
        <w:tab w:val="right" w:leader="none" w:pos="8306"/>
      </w:tabs>
      <w:snapToGrid w:val="false"/>
      <w:spacing w:lineRule="auto" w:line="240"/>
      <w:jc w:val="both"/>
      <w:outlineLvl w:val="9"/>
    </w:pPr>
    <w:rPr>
      <w:sz w:val="18"/>
    </w:rPr>
  </w:style>
  <w:style w:type="table" w:styleId="style154">
    <w:name w:val="Table Grid"/>
    <w:basedOn w:val="style105"/>
    <w:next w:val="style154"/>
    <w:qFormat/>
    <w:uiPriority w:val="0"/>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097">
    <w:name w:val="Table Normal"/>
    <w:next w:val="style4097"/>
    <w:qFormat/>
    <w:uiPriority w:val="0"/>
    <w:pPr/>
    <w:rPr/>
    <w:tblPr>
      <w:tblCellMar>
        <w:top w:w="0" w:type="dxa"/>
        <w:left w:w="0" w:type="dxa"/>
        <w:bottom w:w="0" w:type="dxa"/>
        <w:right w:w="0"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Words>4790</Words>
  <Pages>11</Pages>
  <Characters>4976</Characters>
  <Application>WPS Office</Application>
  <DocSecurity>0</DocSecurity>
  <Paragraphs>316</Paragraphs>
  <ScaleCrop>false</ScaleCrop>
  <LinksUpToDate>false</LinksUpToDate>
  <CharactersWithSpaces>5052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2023-04-13T05:09:00Z</dcterms:created>
  <dc:creator>vanilla</dc:creator>
  <lastModifiedBy>YAL-AL10</lastModifiedBy>
  <dcterms:modified xsi:type="dcterms:W3CDTF">2024-01-05T07:07:28Z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D1410F65B5CA4D48AA12BED7917E9F5C_13</vt:lpwstr>
  </property>
</Properties>
</file>